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18" w:rsidRPr="0091555B" w:rsidRDefault="00946B18" w:rsidP="00946B18">
      <w:pPr>
        <w:pStyle w:val="Heading4"/>
        <w:ind w:left="0"/>
      </w:pPr>
      <w:r w:rsidRPr="0091555B">
        <w:t>Document Retention Periods</w:t>
      </w:r>
    </w:p>
    <w:p w:rsidR="00946B18" w:rsidRPr="001048EB" w:rsidRDefault="00946B18" w:rsidP="00946B18">
      <w:pPr>
        <w:jc w:val="both"/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8"/>
        <w:gridCol w:w="2610"/>
      </w:tblGrid>
      <w:tr w:rsidR="00946B18" w:rsidRPr="001048EB" w:rsidTr="00E429DA">
        <w:trPr>
          <w:trHeight w:val="359"/>
        </w:trPr>
        <w:tc>
          <w:tcPr>
            <w:tcW w:w="7128" w:type="dxa"/>
            <w:shd w:val="clear" w:color="auto" w:fill="C00000"/>
          </w:tcPr>
          <w:p w:rsidR="00946B18" w:rsidRPr="001048EB" w:rsidRDefault="00946B18" w:rsidP="00E429DA">
            <w:pPr>
              <w:ind w:left="30"/>
            </w:pPr>
            <w:r w:rsidRPr="001048EB">
              <w:t>Record or information</w:t>
            </w:r>
          </w:p>
        </w:tc>
        <w:tc>
          <w:tcPr>
            <w:tcW w:w="2610" w:type="dxa"/>
            <w:shd w:val="clear" w:color="auto" w:fill="C00000"/>
          </w:tcPr>
          <w:p w:rsidR="00946B18" w:rsidRPr="001048EB" w:rsidRDefault="00946B18" w:rsidP="00E429DA">
            <w:pPr>
              <w:ind w:left="30"/>
            </w:pPr>
            <w:r w:rsidRPr="001048EB">
              <w:t>Duration</w:t>
            </w:r>
          </w:p>
        </w:tc>
      </w:tr>
      <w:tr w:rsidR="00946B18" w:rsidRPr="001048EB" w:rsidTr="00E429DA">
        <w:tc>
          <w:tcPr>
            <w:tcW w:w="9738" w:type="dxa"/>
            <w:gridSpan w:val="2"/>
            <w:shd w:val="clear" w:color="auto" w:fill="DDDDDD"/>
          </w:tcPr>
          <w:p w:rsidR="00946B18" w:rsidRPr="001048EB" w:rsidRDefault="00946B18" w:rsidP="00E429DA">
            <w:pPr>
              <w:ind w:left="30"/>
            </w:pPr>
            <w:r w:rsidRPr="001048EB">
              <w:t>General First Nation governance records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>All First Nation bylaws, amendments to the bylaws, the First Nation constitution, and membership resolutions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 xml:space="preserve">Permanent 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>Appointments and terms of appointments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 xml:space="preserve">Permanent 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>Applicable legislation, agreements, funding arrangements, council commitments, land codes in force, financial administration codes for oil &amp; gas monies management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 xml:space="preserve">Permanent 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>The First Nation’s Financial Administration Law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 xml:space="preserve">Permanent 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>The First Nation’s Property Taxation Law or By-law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Permanent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>The First Nation’s Borrowing Law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Permanent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 xml:space="preserve">Minutes from the meetings of the Council and all council committees, annual reports, debenture records and council, committee and membership records, public notices, records of incorporation, corporate seal  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 xml:space="preserve">Permanent </w:t>
            </w:r>
          </w:p>
        </w:tc>
      </w:tr>
      <w:tr w:rsidR="00946B18" w:rsidRPr="001048EB" w:rsidTr="00E429DA">
        <w:tc>
          <w:tcPr>
            <w:tcW w:w="9738" w:type="dxa"/>
            <w:gridSpan w:val="2"/>
            <w:shd w:val="clear" w:color="auto" w:fill="DDDDDD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Legal files and papers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>Customer and supplier contracts and correspondence related to the terms of the contracts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7 years beyond life of contract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>Contractual or other agreements (e.g., contribution, impact benefit, trust) between the First Nation and others and correspondence related to the terms of the contracts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7 years beyond life of the contract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 xml:space="preserve">Papers relating to major litigation including those documents relating to internal financial misconduct 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5 years after expiration of the legal appeal period or as specified by legal counsel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 xml:space="preserve">Papers relating to minor litigation including those documents relating to internal financial misconduct 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2 years after the expiration of the legal appeal period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 xml:space="preserve">Insurance policies including product or service liability, council and </w:t>
            </w:r>
            <w:r>
              <w:t>Officer</w:t>
            </w:r>
            <w:r w:rsidRPr="001048EB">
              <w:t xml:space="preserve">s liability, general liability, and third-party liability, property and crime coverage 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7 years after the policy has been superseded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 xml:space="preserve">Documents pertaining to the purchase, sale or lease of property </w:t>
            </w:r>
          </w:p>
          <w:p w:rsidR="00946B18" w:rsidRPr="001048EB" w:rsidRDefault="00946B18" w:rsidP="00E429DA">
            <w:pPr>
              <w:spacing w:after="0"/>
              <w:ind w:left="30"/>
            </w:pP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Permanent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 xml:space="preserve">Documents pertaining to equity investments or joint ventures 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Permanent</w:t>
            </w:r>
          </w:p>
        </w:tc>
      </w:tr>
      <w:tr w:rsidR="00946B18" w:rsidRPr="001048EB" w:rsidTr="00E429DA">
        <w:tc>
          <w:tcPr>
            <w:tcW w:w="9738" w:type="dxa"/>
            <w:gridSpan w:val="2"/>
            <w:shd w:val="clear" w:color="auto" w:fill="DDDDDD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Human Resources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>Personnel manuals and procedures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Permanent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>Organization charts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Permanent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lastRenderedPageBreak/>
              <w:t>Where there is a pension plan (excluding RRSP plans):</w:t>
            </w:r>
          </w:p>
          <w:p w:rsidR="00946B18" w:rsidRPr="001048EB" w:rsidRDefault="00946B18" w:rsidP="00E429DA">
            <w:pPr>
              <w:spacing w:after="0"/>
              <w:ind w:left="30"/>
            </w:pPr>
            <w:r w:rsidRPr="001048EB">
              <w:t>Original plan documents;</w:t>
            </w:r>
          </w:p>
          <w:p w:rsidR="00946B18" w:rsidRPr="001048EB" w:rsidRDefault="00946B18" w:rsidP="00E429DA">
            <w:pPr>
              <w:spacing w:after="0"/>
              <w:ind w:left="30"/>
            </w:pPr>
            <w:r w:rsidRPr="001048EB">
              <w:t>records of pensionable employee service and eligibility;</w:t>
            </w:r>
          </w:p>
          <w:p w:rsidR="00946B18" w:rsidRPr="001048EB" w:rsidRDefault="00946B18" w:rsidP="00E429DA">
            <w:pPr>
              <w:spacing w:after="0"/>
              <w:ind w:left="30"/>
            </w:pPr>
            <w:r w:rsidRPr="001048EB">
              <w:t xml:space="preserve">associated personal information including name, address, social insurance number, pay history, pension rate 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7 years after the death of the employee or employee’s spouse in the case of spousal eligibility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>Letters of offer and individual contracts of employment</w:t>
            </w:r>
          </w:p>
          <w:p w:rsidR="00946B18" w:rsidRPr="001048EB" w:rsidRDefault="00946B18" w:rsidP="00E429DA">
            <w:pPr>
              <w:spacing w:after="0"/>
              <w:ind w:left="30"/>
            </w:pP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2 years after termination of the employee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>Signed Code of Conduct obligations and signed Conflict of Interest declarations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2 years after termination of the employee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>Attendance records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2 years after termination of the employee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>Financial information such as payroll history including RRSP contributions, commission and bonus history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2 years after termination of the employee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>Medical information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2 years after termination of the employee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>Job descriptions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2 years beyond the period to which it applies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>Performance assessments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2 years beyond the period to which it applies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>Applications, resumes, and correspondence related to individuals not hired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2 years beyond the period to which it applies</w:t>
            </w:r>
          </w:p>
        </w:tc>
      </w:tr>
      <w:tr w:rsidR="00946B18" w:rsidRPr="001048EB" w:rsidTr="00E429DA">
        <w:tc>
          <w:tcPr>
            <w:tcW w:w="9738" w:type="dxa"/>
            <w:gridSpan w:val="2"/>
            <w:shd w:val="clear" w:color="auto" w:fill="DDDDDD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Financial records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>Operations manuals, procedures, and internal control guidelines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Permanent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>Signed annual financial statements and corresponding signed independent auditor reports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Permanent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 xml:space="preserve">Internal reports, including but not limited to: </w:t>
            </w:r>
          </w:p>
          <w:p w:rsidR="00946B18" w:rsidRPr="001048EB" w:rsidRDefault="00946B18" w:rsidP="00E429DA">
            <w:pPr>
              <w:spacing w:after="0"/>
              <w:ind w:left="30"/>
            </w:pPr>
            <w:r w:rsidRPr="001048EB">
              <w:t>Reviews</w:t>
            </w:r>
          </w:p>
          <w:p w:rsidR="00946B18" w:rsidRPr="001048EB" w:rsidRDefault="00946B18" w:rsidP="00E429DA">
            <w:pPr>
              <w:spacing w:after="0"/>
              <w:ind w:left="30"/>
            </w:pPr>
            <w:r w:rsidRPr="001048EB">
              <w:t>Annual operations report</w:t>
            </w:r>
          </w:p>
          <w:p w:rsidR="00946B18" w:rsidRPr="001048EB" w:rsidRDefault="00946B18" w:rsidP="00E429DA">
            <w:pPr>
              <w:spacing w:after="0"/>
              <w:ind w:left="30"/>
            </w:pPr>
            <w:r w:rsidRPr="001048EB">
              <w:t>Special purpose reports</w:t>
            </w:r>
          </w:p>
          <w:p w:rsidR="00946B18" w:rsidRPr="001048EB" w:rsidRDefault="00946B18" w:rsidP="00E429DA">
            <w:pPr>
              <w:spacing w:after="0"/>
              <w:ind w:left="30"/>
            </w:pPr>
            <w:r w:rsidRPr="001048EB">
              <w:t>Internal audit reports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10 years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>Accounting documentation, including but not limited to:</w:t>
            </w:r>
          </w:p>
          <w:p w:rsidR="00946B18" w:rsidRPr="001048EB" w:rsidRDefault="00946B18" w:rsidP="00E429DA">
            <w:pPr>
              <w:spacing w:after="0"/>
              <w:ind w:left="30"/>
            </w:pPr>
            <w:r w:rsidRPr="001048EB">
              <w:t>General ledgers, general journals, financial records and supporting documentation</w:t>
            </w:r>
          </w:p>
          <w:p w:rsidR="00946B18" w:rsidRPr="001048EB" w:rsidRDefault="00946B18" w:rsidP="00E429DA">
            <w:pPr>
              <w:spacing w:after="0"/>
              <w:ind w:left="30"/>
            </w:pPr>
            <w:r w:rsidRPr="001048EB">
              <w:t>Monthly and quarterly financial statements</w:t>
            </w:r>
          </w:p>
          <w:p w:rsidR="00946B18" w:rsidRPr="001048EB" w:rsidRDefault="00946B18" w:rsidP="00E429DA">
            <w:pPr>
              <w:spacing w:after="0"/>
              <w:ind w:left="30"/>
            </w:pPr>
            <w:r w:rsidRPr="001048EB">
              <w:t>Monthly and quarterly management reports</w:t>
            </w:r>
          </w:p>
          <w:p w:rsidR="00946B18" w:rsidRPr="001048EB" w:rsidRDefault="00946B18" w:rsidP="00E429DA">
            <w:pPr>
              <w:spacing w:after="0"/>
              <w:ind w:left="30"/>
            </w:pPr>
            <w:r w:rsidRPr="001048EB">
              <w:t>Month / Quarter / Year-end Financial Closing and Reporting work papers</w:t>
            </w:r>
          </w:p>
          <w:p w:rsidR="00946B18" w:rsidRPr="001048EB" w:rsidRDefault="00946B18" w:rsidP="00E429DA">
            <w:pPr>
              <w:spacing w:after="0"/>
              <w:ind w:left="30"/>
            </w:pPr>
            <w:r w:rsidRPr="001048EB">
              <w:t>Financial institution account statements and reconciliations</w:t>
            </w:r>
          </w:p>
          <w:p w:rsidR="00946B18" w:rsidRPr="001048EB" w:rsidRDefault="00946B18" w:rsidP="00E429DA">
            <w:pPr>
              <w:spacing w:after="0"/>
              <w:ind w:left="30"/>
            </w:pPr>
            <w:r w:rsidRPr="001048EB">
              <w:t>Cancelled cheques and cash register tapes</w:t>
            </w:r>
          </w:p>
          <w:p w:rsidR="00946B18" w:rsidRPr="001048EB" w:rsidRDefault="00946B18" w:rsidP="00E429DA">
            <w:pPr>
              <w:spacing w:after="0"/>
              <w:ind w:left="30"/>
            </w:pPr>
            <w:r w:rsidRPr="001048EB">
              <w:t>Invoices</w:t>
            </w:r>
          </w:p>
          <w:p w:rsidR="00946B18" w:rsidRPr="001048EB" w:rsidRDefault="00946B18" w:rsidP="00E429DA">
            <w:pPr>
              <w:spacing w:after="0"/>
              <w:ind w:left="30"/>
            </w:pPr>
            <w:r w:rsidRPr="001048EB">
              <w:t>Annual budgets</w:t>
            </w:r>
          </w:p>
          <w:p w:rsidR="00946B18" w:rsidRPr="001048EB" w:rsidRDefault="00946B18" w:rsidP="00E429DA">
            <w:pPr>
              <w:spacing w:after="0"/>
              <w:ind w:left="30"/>
            </w:pPr>
            <w:r w:rsidRPr="001048EB">
              <w:t>Multi-year financial plans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8 years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lastRenderedPageBreak/>
              <w:t>Asset management documentation, including but not limited to:</w:t>
            </w:r>
          </w:p>
          <w:p w:rsidR="00946B18" w:rsidRPr="001048EB" w:rsidRDefault="00946B18" w:rsidP="00E429DA">
            <w:pPr>
              <w:spacing w:after="0"/>
              <w:ind w:left="30"/>
            </w:pPr>
            <w:r w:rsidRPr="001048EB">
              <w:t>Tangible capital asset register</w:t>
            </w:r>
          </w:p>
          <w:p w:rsidR="00946B18" w:rsidRPr="001048EB" w:rsidRDefault="00946B18" w:rsidP="00E429DA">
            <w:pPr>
              <w:spacing w:after="0"/>
              <w:ind w:left="30"/>
            </w:pPr>
            <w:r w:rsidRPr="001048EB">
              <w:t>Reserve fund reports</w:t>
            </w:r>
          </w:p>
          <w:p w:rsidR="00946B18" w:rsidRPr="001048EB" w:rsidRDefault="00946B18" w:rsidP="00E429DA">
            <w:pPr>
              <w:spacing w:after="0"/>
              <w:ind w:left="30"/>
            </w:pPr>
            <w:r w:rsidRPr="001048EB">
              <w:t>Life cycle planning</w:t>
            </w:r>
          </w:p>
          <w:p w:rsidR="00946B18" w:rsidRPr="001048EB" w:rsidRDefault="00946B18" w:rsidP="00E429DA">
            <w:pPr>
              <w:spacing w:after="0"/>
              <w:ind w:left="30"/>
            </w:pPr>
            <w:r w:rsidRPr="001048EB">
              <w:t>Capital project budgeting</w:t>
            </w:r>
          </w:p>
          <w:p w:rsidR="00946B18" w:rsidRPr="001048EB" w:rsidRDefault="00946B18" w:rsidP="00E429DA">
            <w:pPr>
              <w:spacing w:after="0"/>
              <w:ind w:left="30"/>
            </w:pPr>
            <w:r w:rsidRPr="001048EB">
              <w:t>Contract and tendering provisions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8 years beyond completion of the project or asset utilization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>If applicable, property taxation related documentation, including but not limited to:</w:t>
            </w:r>
          </w:p>
          <w:p w:rsidR="00946B18" w:rsidRPr="001048EB" w:rsidRDefault="00946B18" w:rsidP="00E429DA">
            <w:pPr>
              <w:spacing w:after="0"/>
              <w:ind w:left="30"/>
            </w:pPr>
            <w:r w:rsidRPr="001048EB">
              <w:t>Property tax working papers</w:t>
            </w:r>
          </w:p>
          <w:p w:rsidR="00946B18" w:rsidRPr="001048EB" w:rsidRDefault="00946B18" w:rsidP="00E429DA">
            <w:pPr>
              <w:spacing w:after="0"/>
              <w:ind w:left="30"/>
            </w:pPr>
            <w:r w:rsidRPr="001048EB">
              <w:t>Tax roll</w:t>
            </w:r>
          </w:p>
          <w:p w:rsidR="00946B18" w:rsidRPr="001048EB" w:rsidRDefault="00946B18" w:rsidP="00E429DA">
            <w:pPr>
              <w:spacing w:after="0"/>
              <w:ind w:left="30"/>
            </w:pPr>
            <w:r w:rsidRPr="001048EB">
              <w:t xml:space="preserve">Tax filings 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8 years</w:t>
            </w:r>
          </w:p>
        </w:tc>
      </w:tr>
      <w:tr w:rsidR="00946B18" w:rsidRPr="001048EB" w:rsidTr="00E429DA">
        <w:tc>
          <w:tcPr>
            <w:tcW w:w="9738" w:type="dxa"/>
            <w:gridSpan w:val="2"/>
            <w:shd w:val="clear" w:color="auto" w:fill="DDDDDD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Operational records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>Operations manuals, policies and procedures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Permanent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>Original patents, trademarks, and copyrights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7 years after the expiration of the right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>Customs documents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7 years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>Annual physical inventories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Permanent</w:t>
            </w:r>
          </w:p>
        </w:tc>
      </w:tr>
      <w:tr w:rsidR="00946B18" w:rsidRPr="001048EB" w:rsidTr="00E429DA">
        <w:tc>
          <w:tcPr>
            <w:tcW w:w="7128" w:type="dxa"/>
          </w:tcPr>
          <w:p w:rsidR="00946B18" w:rsidRPr="001048EB" w:rsidRDefault="00946B18" w:rsidP="00E429DA">
            <w:pPr>
              <w:spacing w:after="0"/>
              <w:ind w:left="30"/>
            </w:pPr>
            <w:r w:rsidRPr="001048EB">
              <w:t>Safety committee minutes, inspection reports and related action reports</w:t>
            </w:r>
          </w:p>
        </w:tc>
        <w:tc>
          <w:tcPr>
            <w:tcW w:w="2610" w:type="dxa"/>
          </w:tcPr>
          <w:p w:rsidR="00946B18" w:rsidRPr="001048EB" w:rsidRDefault="00946B18" w:rsidP="00E429DA">
            <w:pPr>
              <w:spacing w:after="0"/>
              <w:ind w:left="0"/>
            </w:pPr>
            <w:r w:rsidRPr="001048EB">
              <w:t>10 years</w:t>
            </w:r>
          </w:p>
        </w:tc>
      </w:tr>
    </w:tbl>
    <w:p w:rsidR="00946B18" w:rsidRPr="001048EB" w:rsidRDefault="00946B18" w:rsidP="00946B18">
      <w:r w:rsidRPr="001048EB" w:rsidDel="00A94700">
        <w:rPr>
          <w:sz w:val="24"/>
        </w:rPr>
        <w:t xml:space="preserve"> </w:t>
      </w:r>
    </w:p>
    <w:p w:rsidR="00946B18" w:rsidRPr="001048EB" w:rsidRDefault="00946B18" w:rsidP="00946B18"/>
    <w:p w:rsidR="00946B18" w:rsidRPr="001048EB" w:rsidRDefault="00946B18" w:rsidP="00946B18"/>
    <w:p w:rsidR="00946B18" w:rsidRPr="002F6F84" w:rsidRDefault="00946B18" w:rsidP="00946B18">
      <w:pPr>
        <w:rPr>
          <w:bCs/>
          <w:lang w:val="en-US"/>
        </w:rPr>
      </w:pPr>
    </w:p>
    <w:p w:rsidR="008E5F1B" w:rsidRDefault="00946B18">
      <w:bookmarkStart w:id="0" w:name="_GoBack"/>
      <w:bookmarkEnd w:id="0"/>
    </w:p>
    <w:sectPr w:rsidR="008E5F1B" w:rsidSect="00693001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1418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975"/>
      <w:gridCol w:w="997"/>
    </w:tblGrid>
    <w:tr w:rsidR="0053498D" w:rsidRPr="00E12592" w:rsidTr="003F24DB">
      <w:tc>
        <w:tcPr>
          <w:tcW w:w="4500" w:type="pct"/>
          <w:tcBorders>
            <w:top w:val="single" w:sz="4" w:space="0" w:color="000000"/>
          </w:tcBorders>
        </w:tcPr>
        <w:p w:rsidR="0053498D" w:rsidRPr="00F85FD8" w:rsidRDefault="00946B18" w:rsidP="002107F8">
          <w:pPr>
            <w:pStyle w:val="Footer"/>
            <w:jc w:val="right"/>
            <w:rPr>
              <w:sz w:val="22"/>
              <w:szCs w:val="22"/>
              <w:lang w:val="en-CA" w:eastAsia="ja-JP"/>
            </w:rPr>
          </w:pPr>
          <w:r w:rsidRPr="00F85FD8">
            <w:rPr>
              <w:sz w:val="22"/>
              <w:szCs w:val="22"/>
              <w:lang w:val="en-CA" w:eastAsia="ja-JP"/>
            </w:rPr>
            <w:t>[ Sample] First Nation |</w:t>
          </w:r>
          <w:r>
            <w:rPr>
              <w:sz w:val="22"/>
              <w:szCs w:val="22"/>
              <w:lang w:val="en-CA" w:eastAsia="ja-JP"/>
            </w:rPr>
            <w:t xml:space="preserve">Information Management </w:t>
          </w:r>
          <w:r>
            <w:rPr>
              <w:sz w:val="22"/>
              <w:szCs w:val="22"/>
              <w:lang w:val="en-US" w:eastAsia="ja-JP"/>
            </w:rPr>
            <w:t>Policy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808080"/>
        </w:tcPr>
        <w:p w:rsidR="0053498D" w:rsidRPr="00F85FD8" w:rsidRDefault="00946B18" w:rsidP="00C4111B">
          <w:pPr>
            <w:pStyle w:val="Header"/>
            <w:ind w:left="137"/>
            <w:rPr>
              <w:color w:val="FFFFFF"/>
              <w:sz w:val="22"/>
              <w:szCs w:val="22"/>
              <w:lang w:val="en-CA" w:eastAsia="ja-JP"/>
            </w:rPr>
          </w:pPr>
          <w:r w:rsidRPr="00F85FD8">
            <w:rPr>
              <w:sz w:val="22"/>
              <w:szCs w:val="22"/>
              <w:lang w:val="en-CA" w:eastAsia="ja-JP"/>
            </w:rPr>
            <w:fldChar w:fldCharType="begin"/>
          </w:r>
          <w:r w:rsidRPr="00F85FD8">
            <w:rPr>
              <w:sz w:val="22"/>
              <w:szCs w:val="22"/>
              <w:lang w:val="en-CA" w:eastAsia="ja-JP"/>
            </w:rPr>
            <w:instrText xml:space="preserve"> PAGE   \* MERGEFORMAT </w:instrText>
          </w:r>
          <w:r w:rsidRPr="00F85FD8">
            <w:rPr>
              <w:sz w:val="22"/>
              <w:szCs w:val="22"/>
              <w:lang w:val="en-CA" w:eastAsia="ja-JP"/>
            </w:rPr>
            <w:fldChar w:fldCharType="separate"/>
          </w:r>
          <w:r w:rsidRPr="00946B18">
            <w:rPr>
              <w:noProof/>
              <w:color w:val="FFFFFF"/>
              <w:sz w:val="22"/>
              <w:szCs w:val="22"/>
              <w:lang w:val="en-CA" w:eastAsia="ja-JP"/>
            </w:rPr>
            <w:t>3</w:t>
          </w:r>
          <w:r w:rsidRPr="00F85FD8">
            <w:rPr>
              <w:noProof/>
              <w:color w:val="FFFFFF"/>
              <w:sz w:val="22"/>
              <w:szCs w:val="22"/>
              <w:lang w:val="en-CA" w:eastAsia="ja-JP"/>
            </w:rPr>
            <w:fldChar w:fldCharType="end"/>
          </w:r>
        </w:p>
      </w:tc>
    </w:tr>
  </w:tbl>
  <w:p w:rsidR="0053498D" w:rsidRPr="006D36C3" w:rsidRDefault="00946B18">
    <w:pPr>
      <w:pStyle w:val="Footer"/>
      <w:rPr>
        <w:b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8D" w:rsidRDefault="00946B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8D" w:rsidRDefault="00946B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8D" w:rsidRDefault="00946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18"/>
    <w:rsid w:val="003D5648"/>
    <w:rsid w:val="00407CDD"/>
    <w:rsid w:val="00495E60"/>
    <w:rsid w:val="005E05DA"/>
    <w:rsid w:val="006B7BF7"/>
    <w:rsid w:val="008E718B"/>
    <w:rsid w:val="00946B18"/>
    <w:rsid w:val="00EB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EBE69-D269-4D6F-83FE-CD84B4C1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B18"/>
    <w:pPr>
      <w:spacing w:after="200" w:line="276" w:lineRule="auto"/>
      <w:ind w:left="567"/>
    </w:pPr>
    <w:rPr>
      <w:rFonts w:ascii="Calibri" w:eastAsia="MS Mincho" w:hAnsi="Calibri" w:cs="Times New Roman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946B18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46B18"/>
    <w:rPr>
      <w:rFonts w:eastAsiaTheme="majorEastAsia" w:cstheme="majorBidi"/>
      <w:b/>
      <w:iCs/>
      <w:color w:val="2E74B5" w:themeColor="accent1" w:themeShade="BF"/>
      <w:sz w:val="28"/>
      <w:lang w:eastAsia="ja-JP"/>
    </w:rPr>
  </w:style>
  <w:style w:type="paragraph" w:styleId="Header">
    <w:name w:val="header"/>
    <w:basedOn w:val="Normal"/>
    <w:link w:val="HeaderChar"/>
    <w:uiPriority w:val="99"/>
    <w:rsid w:val="00946B1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46B18"/>
    <w:rPr>
      <w:rFonts w:ascii="Calibri" w:eastAsia="MS Mincho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946B1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46B18"/>
    <w:rPr>
      <w:rFonts w:ascii="Calibri" w:eastAsia="MS Mincho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3912</Characters>
  <Application>Microsoft Office Word</Application>
  <DocSecurity>0</DocSecurity>
  <Lines>32</Lines>
  <Paragraphs>9</Paragraphs>
  <ScaleCrop>false</ScaleCrop>
  <Company>Org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Lee</dc:creator>
  <cp:keywords/>
  <dc:description/>
  <cp:lastModifiedBy>Ingrid Lee</cp:lastModifiedBy>
  <cp:revision>1</cp:revision>
  <dcterms:created xsi:type="dcterms:W3CDTF">2017-12-07T23:15:00Z</dcterms:created>
  <dcterms:modified xsi:type="dcterms:W3CDTF">2017-12-07T23:15:00Z</dcterms:modified>
</cp:coreProperties>
</file>