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70" w:rsidRPr="00B60386" w:rsidRDefault="006A7A70" w:rsidP="006A7A70">
      <w:pPr>
        <w:pStyle w:val="Heading4"/>
        <w:ind w:left="0"/>
      </w:pPr>
      <w:r w:rsidRPr="00B60386">
        <w:t>Montant maximum des achats pouvant être autorisés</w:t>
      </w:r>
    </w:p>
    <w:p w:rsidR="006A7A70" w:rsidRPr="00B60386" w:rsidRDefault="006A7A70" w:rsidP="006A7A70">
      <w:pPr>
        <w:rPr>
          <w:rFonts w:cs="Arial"/>
          <w:b/>
          <w:sz w:val="28"/>
          <w:szCs w:val="28"/>
        </w:rPr>
      </w:pP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865"/>
        <w:gridCol w:w="3116"/>
        <w:gridCol w:w="2790"/>
      </w:tblGrid>
      <w:tr w:rsidR="006A7A70" w:rsidRPr="00B60386" w:rsidTr="00AD596A">
        <w:trPr>
          <w:trHeight w:val="659"/>
        </w:trPr>
        <w:tc>
          <w:tcPr>
            <w:tcW w:w="3683" w:type="dxa"/>
            <w:gridSpan w:val="2"/>
            <w:shd w:val="clear" w:color="auto" w:fill="C00000"/>
          </w:tcPr>
          <w:p w:rsidR="006A7A70" w:rsidRPr="00B60386" w:rsidRDefault="006A7A70" w:rsidP="00AD596A">
            <w:pPr>
              <w:ind w:left="30"/>
              <w:jc w:val="both"/>
              <w:rPr>
                <w:b/>
              </w:rPr>
            </w:pPr>
            <w:r w:rsidRPr="00B60386">
              <w:rPr>
                <w:b/>
              </w:rPr>
              <w:t xml:space="preserve">Valeur des achats </w:t>
            </w:r>
          </w:p>
          <w:p w:rsidR="006A7A70" w:rsidRPr="00B60386" w:rsidRDefault="006A7A70" w:rsidP="00AD596A">
            <w:pPr>
              <w:ind w:left="30"/>
              <w:jc w:val="both"/>
              <w:rPr>
                <w:b/>
                <w:i/>
              </w:rPr>
            </w:pPr>
            <w:r w:rsidRPr="00B60386">
              <w:rPr>
                <w:b/>
                <w:i/>
                <w:sz w:val="16"/>
                <w:szCs w:val="16"/>
              </w:rPr>
              <w:t>[montants utilisés uniquement à titre indicatif – varieront selon la situation de la Première Nation]</w:t>
            </w:r>
          </w:p>
        </w:tc>
        <w:tc>
          <w:tcPr>
            <w:tcW w:w="3116" w:type="dxa"/>
            <w:shd w:val="clear" w:color="auto" w:fill="C00000"/>
          </w:tcPr>
          <w:p w:rsidR="006A7A70" w:rsidRPr="00B60386" w:rsidRDefault="006A7A70" w:rsidP="00AD596A">
            <w:pPr>
              <w:ind w:left="119" w:right="-165"/>
              <w:jc w:val="both"/>
              <w:rPr>
                <w:b/>
              </w:rPr>
            </w:pPr>
            <w:r w:rsidRPr="00B60386">
              <w:rPr>
                <w:b/>
              </w:rPr>
              <w:t>Processus à respecter</w:t>
            </w:r>
          </w:p>
        </w:tc>
        <w:tc>
          <w:tcPr>
            <w:tcW w:w="2790" w:type="dxa"/>
            <w:shd w:val="clear" w:color="auto" w:fill="C00000"/>
          </w:tcPr>
          <w:p w:rsidR="006A7A70" w:rsidRPr="00B60386" w:rsidRDefault="006A7A70" w:rsidP="00AD596A">
            <w:pPr>
              <w:ind w:left="119"/>
              <w:jc w:val="both"/>
              <w:rPr>
                <w:b/>
              </w:rPr>
            </w:pPr>
            <w:r w:rsidRPr="00B60386">
              <w:rPr>
                <w:b/>
              </w:rPr>
              <w:t>Personnes responsables</w:t>
            </w:r>
          </w:p>
        </w:tc>
      </w:tr>
      <w:tr w:rsidR="006A7A70" w:rsidRPr="00B60386" w:rsidTr="00AD596A">
        <w:tc>
          <w:tcPr>
            <w:tcW w:w="3683" w:type="dxa"/>
            <w:gridSpan w:val="2"/>
            <w:shd w:val="clear" w:color="auto" w:fill="auto"/>
          </w:tcPr>
          <w:p w:rsidR="006A7A70" w:rsidRPr="00B60386" w:rsidRDefault="006A7A70" w:rsidP="00AD596A">
            <w:pPr>
              <w:ind w:left="172"/>
              <w:rPr>
                <w:sz w:val="20"/>
              </w:rPr>
            </w:pPr>
            <w:r w:rsidRPr="00B60386">
              <w:rPr>
                <w:sz w:val="20"/>
              </w:rPr>
              <w:t>Moins de 100 $</w:t>
            </w:r>
          </w:p>
        </w:tc>
        <w:tc>
          <w:tcPr>
            <w:tcW w:w="3116" w:type="dxa"/>
            <w:shd w:val="clear" w:color="auto" w:fill="auto"/>
          </w:tcPr>
          <w:p w:rsidR="006A7A70" w:rsidRPr="00B60386" w:rsidRDefault="006A7A70" w:rsidP="00AD596A">
            <w:pPr>
              <w:ind w:left="172"/>
              <w:rPr>
                <w:sz w:val="20"/>
              </w:rPr>
            </w:pPr>
            <w:r w:rsidRPr="00B60386">
              <w:rPr>
                <w:sz w:val="20"/>
              </w:rPr>
              <w:t>Petite caisse</w:t>
            </w:r>
          </w:p>
        </w:tc>
        <w:tc>
          <w:tcPr>
            <w:tcW w:w="2790" w:type="dxa"/>
            <w:shd w:val="clear" w:color="auto" w:fill="auto"/>
          </w:tcPr>
          <w:p w:rsidR="006A7A70" w:rsidRPr="00B60386" w:rsidRDefault="006A7A70" w:rsidP="00AD596A">
            <w:pPr>
              <w:ind w:left="172"/>
              <w:rPr>
                <w:sz w:val="20"/>
              </w:rPr>
            </w:pPr>
            <w:r w:rsidRPr="00B60386">
              <w:rPr>
                <w:sz w:val="20"/>
              </w:rPr>
              <w:t>Commis à la petite caisse</w:t>
            </w:r>
          </w:p>
        </w:tc>
      </w:tr>
      <w:tr w:rsidR="006A7A70" w:rsidRPr="00B60386" w:rsidTr="00AD596A">
        <w:trPr>
          <w:trHeight w:val="458"/>
        </w:trPr>
        <w:tc>
          <w:tcPr>
            <w:tcW w:w="1818" w:type="dxa"/>
            <w:shd w:val="clear" w:color="auto" w:fill="auto"/>
          </w:tcPr>
          <w:p w:rsidR="006A7A70" w:rsidRPr="00B60386" w:rsidRDefault="006A7A70" w:rsidP="00AD596A">
            <w:pPr>
              <w:ind w:left="172"/>
              <w:rPr>
                <w:sz w:val="20"/>
              </w:rPr>
            </w:pPr>
            <w:r w:rsidRPr="00B60386">
              <w:rPr>
                <w:sz w:val="20"/>
              </w:rPr>
              <w:t>Plus de [100 $]</w:t>
            </w:r>
          </w:p>
        </w:tc>
        <w:tc>
          <w:tcPr>
            <w:tcW w:w="1865" w:type="dxa"/>
            <w:shd w:val="clear" w:color="auto" w:fill="auto"/>
          </w:tcPr>
          <w:p w:rsidR="006A7A70" w:rsidRPr="00B60386" w:rsidRDefault="006A7A70" w:rsidP="00AD596A">
            <w:pPr>
              <w:ind w:left="172"/>
              <w:rPr>
                <w:sz w:val="20"/>
              </w:rPr>
            </w:pPr>
            <w:r w:rsidRPr="00B60386">
              <w:rPr>
                <w:sz w:val="20"/>
              </w:rPr>
              <w:t>Maximum de [1 000 $]</w:t>
            </w:r>
          </w:p>
        </w:tc>
        <w:tc>
          <w:tcPr>
            <w:tcW w:w="3116" w:type="dxa"/>
            <w:shd w:val="clear" w:color="auto" w:fill="auto"/>
          </w:tcPr>
          <w:p w:rsidR="006A7A70" w:rsidRPr="00B60386" w:rsidRDefault="006A7A70" w:rsidP="00AD596A">
            <w:pPr>
              <w:ind w:left="172"/>
              <w:rPr>
                <w:sz w:val="20"/>
              </w:rPr>
            </w:pPr>
            <w:r w:rsidRPr="00B60386">
              <w:rPr>
                <w:sz w:val="20"/>
              </w:rPr>
              <w:t>Faible valeur</w:t>
            </w:r>
            <w:r w:rsidRPr="00B60386">
              <w:rPr>
                <w:sz w:val="20"/>
                <w:vertAlign w:val="superscript"/>
              </w:rPr>
              <w:t>2</w:t>
            </w:r>
          </w:p>
        </w:tc>
        <w:tc>
          <w:tcPr>
            <w:tcW w:w="2790" w:type="dxa"/>
            <w:shd w:val="clear" w:color="auto" w:fill="auto"/>
          </w:tcPr>
          <w:p w:rsidR="006A7A70" w:rsidRPr="00B60386" w:rsidRDefault="006A7A70" w:rsidP="00AD596A">
            <w:pPr>
              <w:ind w:left="172"/>
              <w:rPr>
                <w:sz w:val="20"/>
              </w:rPr>
            </w:pPr>
            <w:r w:rsidRPr="00B60386">
              <w:rPr>
                <w:sz w:val="20"/>
              </w:rPr>
              <w:t>Chef de division</w:t>
            </w:r>
            <w:r w:rsidRPr="00B60386">
              <w:rPr>
                <w:sz w:val="20"/>
                <w:vertAlign w:val="superscript"/>
              </w:rPr>
              <w:t>1</w:t>
            </w:r>
          </w:p>
        </w:tc>
      </w:tr>
      <w:tr w:rsidR="006A7A70" w:rsidRPr="00B60386" w:rsidTr="00AD596A">
        <w:tc>
          <w:tcPr>
            <w:tcW w:w="1818" w:type="dxa"/>
            <w:shd w:val="clear" w:color="auto" w:fill="auto"/>
          </w:tcPr>
          <w:p w:rsidR="006A7A70" w:rsidRPr="00B60386" w:rsidRDefault="006A7A70" w:rsidP="00AD596A">
            <w:pPr>
              <w:ind w:left="172"/>
              <w:rPr>
                <w:sz w:val="20"/>
              </w:rPr>
            </w:pPr>
            <w:r w:rsidRPr="00B60386">
              <w:rPr>
                <w:sz w:val="20"/>
              </w:rPr>
              <w:t>Plus de [1 000 $]</w:t>
            </w:r>
          </w:p>
        </w:tc>
        <w:tc>
          <w:tcPr>
            <w:tcW w:w="1865" w:type="dxa"/>
            <w:shd w:val="clear" w:color="auto" w:fill="auto"/>
          </w:tcPr>
          <w:p w:rsidR="006A7A70" w:rsidRPr="00B60386" w:rsidRDefault="006A7A70" w:rsidP="00AD596A">
            <w:pPr>
              <w:ind w:left="172"/>
              <w:rPr>
                <w:sz w:val="20"/>
              </w:rPr>
            </w:pPr>
            <w:r w:rsidRPr="00B60386">
              <w:rPr>
                <w:sz w:val="20"/>
              </w:rPr>
              <w:t>Maximum de [5 000 $]</w:t>
            </w:r>
          </w:p>
        </w:tc>
        <w:tc>
          <w:tcPr>
            <w:tcW w:w="3116" w:type="dxa"/>
            <w:shd w:val="clear" w:color="auto" w:fill="auto"/>
          </w:tcPr>
          <w:p w:rsidR="006A7A70" w:rsidRPr="00B60386" w:rsidRDefault="006A7A70" w:rsidP="00AD596A">
            <w:pPr>
              <w:ind w:left="172"/>
              <w:rPr>
                <w:sz w:val="20"/>
              </w:rPr>
            </w:pPr>
            <w:r w:rsidRPr="00B60386">
              <w:rPr>
                <w:sz w:val="20"/>
              </w:rPr>
              <w:t>Faible valeur</w:t>
            </w:r>
            <w:r w:rsidRPr="00B60386">
              <w:rPr>
                <w:sz w:val="20"/>
                <w:vertAlign w:val="superscript"/>
              </w:rPr>
              <w:t>2</w:t>
            </w:r>
          </w:p>
        </w:tc>
        <w:tc>
          <w:tcPr>
            <w:tcW w:w="2790" w:type="dxa"/>
            <w:shd w:val="clear" w:color="auto" w:fill="auto"/>
          </w:tcPr>
          <w:p w:rsidR="006A7A70" w:rsidRPr="00B60386" w:rsidRDefault="006A7A70" w:rsidP="00AD596A">
            <w:pPr>
              <w:ind w:left="172"/>
              <w:rPr>
                <w:sz w:val="20"/>
              </w:rPr>
            </w:pPr>
            <w:r w:rsidRPr="00B60386">
              <w:rPr>
                <w:sz w:val="20"/>
              </w:rPr>
              <w:t xml:space="preserve">Chef de division </w:t>
            </w:r>
          </w:p>
        </w:tc>
      </w:tr>
      <w:tr w:rsidR="006A7A70" w:rsidRPr="00B60386" w:rsidTr="00AD596A">
        <w:tc>
          <w:tcPr>
            <w:tcW w:w="1818" w:type="dxa"/>
            <w:shd w:val="clear" w:color="auto" w:fill="auto"/>
          </w:tcPr>
          <w:p w:rsidR="006A7A70" w:rsidRPr="00B60386" w:rsidRDefault="006A7A70" w:rsidP="00AD596A">
            <w:pPr>
              <w:ind w:left="172"/>
              <w:rPr>
                <w:color w:val="000000"/>
                <w:sz w:val="20"/>
              </w:rPr>
            </w:pPr>
            <w:r w:rsidRPr="00B60386">
              <w:rPr>
                <w:color w:val="000000"/>
                <w:sz w:val="20"/>
              </w:rPr>
              <w:t>Plus de [5 000 $]</w:t>
            </w:r>
          </w:p>
        </w:tc>
        <w:tc>
          <w:tcPr>
            <w:tcW w:w="1865" w:type="dxa"/>
            <w:shd w:val="clear" w:color="auto" w:fill="auto"/>
          </w:tcPr>
          <w:p w:rsidR="006A7A70" w:rsidRPr="00B60386" w:rsidRDefault="006A7A70" w:rsidP="00AD596A">
            <w:pPr>
              <w:ind w:left="172"/>
              <w:rPr>
                <w:color w:val="000000"/>
                <w:sz w:val="20"/>
              </w:rPr>
            </w:pPr>
            <w:r w:rsidRPr="00B60386">
              <w:rPr>
                <w:color w:val="000000"/>
                <w:sz w:val="20"/>
              </w:rPr>
              <w:t>Maximum de [25 000 $]</w:t>
            </w:r>
          </w:p>
        </w:tc>
        <w:tc>
          <w:tcPr>
            <w:tcW w:w="3116" w:type="dxa"/>
            <w:shd w:val="clear" w:color="auto" w:fill="auto"/>
          </w:tcPr>
          <w:p w:rsidR="006A7A70" w:rsidRPr="00B60386" w:rsidRDefault="006A7A70" w:rsidP="00AD596A">
            <w:pPr>
              <w:ind w:left="172"/>
              <w:rPr>
                <w:color w:val="000000"/>
                <w:sz w:val="20"/>
              </w:rPr>
            </w:pPr>
            <w:r w:rsidRPr="00B60386">
              <w:rPr>
                <w:color w:val="000000"/>
                <w:sz w:val="20"/>
              </w:rPr>
              <w:t>Moyenne valeur : Devis informel</w:t>
            </w:r>
            <w:r w:rsidRPr="00B60386">
              <w:rPr>
                <w:sz w:val="20"/>
                <w:vertAlign w:val="superscript"/>
              </w:rPr>
              <w:t>3</w:t>
            </w:r>
          </w:p>
        </w:tc>
        <w:tc>
          <w:tcPr>
            <w:tcW w:w="2790" w:type="dxa"/>
            <w:shd w:val="clear" w:color="auto" w:fill="auto"/>
          </w:tcPr>
          <w:p w:rsidR="006A7A70" w:rsidRPr="00B60386" w:rsidRDefault="006A7A70" w:rsidP="00AD596A">
            <w:pPr>
              <w:ind w:left="172"/>
              <w:rPr>
                <w:color w:val="000000"/>
                <w:sz w:val="20"/>
              </w:rPr>
            </w:pPr>
            <w:r w:rsidRPr="00B60386">
              <w:rPr>
                <w:color w:val="000000"/>
                <w:sz w:val="20"/>
              </w:rPr>
              <w:t>Directeur principal</w:t>
            </w:r>
          </w:p>
          <w:p w:rsidR="006A7A70" w:rsidRPr="00B60386" w:rsidRDefault="006A7A70" w:rsidP="00AD596A">
            <w:pPr>
              <w:ind w:left="172"/>
              <w:rPr>
                <w:color w:val="000000"/>
                <w:sz w:val="20"/>
              </w:rPr>
            </w:pPr>
            <w:r w:rsidRPr="00B60386">
              <w:rPr>
                <w:color w:val="000000"/>
                <w:sz w:val="20"/>
              </w:rPr>
              <w:t>Directeur principal des finances</w:t>
            </w:r>
          </w:p>
        </w:tc>
      </w:tr>
      <w:tr w:rsidR="006A7A70" w:rsidRPr="00B60386" w:rsidTr="00AD596A">
        <w:tc>
          <w:tcPr>
            <w:tcW w:w="3683" w:type="dxa"/>
            <w:gridSpan w:val="2"/>
            <w:shd w:val="clear" w:color="auto" w:fill="auto"/>
            <w:vAlign w:val="center"/>
          </w:tcPr>
          <w:p w:rsidR="006A7A70" w:rsidRPr="00B60386" w:rsidRDefault="006A7A70" w:rsidP="00AD596A">
            <w:pPr>
              <w:ind w:left="172"/>
              <w:rPr>
                <w:sz w:val="20"/>
              </w:rPr>
            </w:pPr>
            <w:r w:rsidRPr="00B60386">
              <w:rPr>
                <w:sz w:val="20"/>
              </w:rPr>
              <w:t>Plus de [25 000 $]</w:t>
            </w:r>
          </w:p>
        </w:tc>
        <w:tc>
          <w:tcPr>
            <w:tcW w:w="3116" w:type="dxa"/>
            <w:shd w:val="clear" w:color="auto" w:fill="auto"/>
          </w:tcPr>
          <w:p w:rsidR="006A7A70" w:rsidRPr="00B60386" w:rsidRDefault="006A7A70" w:rsidP="00AD596A">
            <w:pPr>
              <w:ind w:left="172"/>
              <w:rPr>
                <w:sz w:val="20"/>
              </w:rPr>
            </w:pPr>
            <w:r w:rsidRPr="00B60386">
              <w:rPr>
                <w:sz w:val="20"/>
              </w:rPr>
              <w:t>Grande valeur :</w:t>
            </w:r>
          </w:p>
          <w:p w:rsidR="006A7A70" w:rsidRPr="00B60386" w:rsidRDefault="006A7A70" w:rsidP="00AD596A">
            <w:pPr>
              <w:ind w:left="172"/>
              <w:rPr>
                <w:sz w:val="20"/>
              </w:rPr>
            </w:pPr>
            <w:r w:rsidRPr="00B60386">
              <w:rPr>
                <w:sz w:val="20"/>
              </w:rPr>
              <w:t>Appel d’offres/demande de propositions</w:t>
            </w:r>
          </w:p>
        </w:tc>
        <w:tc>
          <w:tcPr>
            <w:tcW w:w="2790" w:type="dxa"/>
            <w:shd w:val="clear" w:color="auto" w:fill="auto"/>
          </w:tcPr>
          <w:p w:rsidR="006A7A70" w:rsidRPr="00B60386" w:rsidRDefault="006A7A70" w:rsidP="00AD596A">
            <w:pPr>
              <w:ind w:left="172"/>
              <w:rPr>
                <w:sz w:val="20"/>
              </w:rPr>
            </w:pPr>
            <w:r w:rsidRPr="00B60386">
              <w:rPr>
                <w:sz w:val="20"/>
              </w:rPr>
              <w:t>Conseil, directeur principal et directeur principal des finances</w:t>
            </w:r>
          </w:p>
        </w:tc>
      </w:tr>
    </w:tbl>
    <w:p w:rsidR="006A7A70" w:rsidRPr="00B60386" w:rsidRDefault="006A7A70" w:rsidP="006A7A70">
      <w:pPr>
        <w:jc w:val="both"/>
        <w:rPr>
          <w:bCs/>
        </w:rPr>
      </w:pPr>
    </w:p>
    <w:p w:rsidR="006A7A70" w:rsidRPr="00B60386" w:rsidRDefault="006A7A70" w:rsidP="006A7A70">
      <w:pPr>
        <w:ind w:left="284"/>
        <w:jc w:val="both"/>
        <w:rPr>
          <w:bCs/>
        </w:rPr>
      </w:pPr>
      <w:r w:rsidRPr="00B60386">
        <w:t>1. Chef de division = Directeur de service ou équivalent</w:t>
      </w:r>
    </w:p>
    <w:p w:rsidR="006A7A70" w:rsidRPr="00B60386" w:rsidRDefault="006A7A70" w:rsidP="006A7A70">
      <w:pPr>
        <w:ind w:left="284"/>
        <w:jc w:val="both"/>
        <w:rPr>
          <w:bCs/>
        </w:rPr>
      </w:pPr>
      <w:r w:rsidRPr="00B60386">
        <w:t>2. Faible valeur = Entente contractuelle associée au processus d’achat de biens de faible valeur : ici, les employés qui y sont autorisés aux termes de cette politique peuvent signer une facture, indiquant ainsi qu’on peut payer l’entrepreneur/le fournisseur pour les biens ou services reçus.</w:t>
      </w:r>
    </w:p>
    <w:p w:rsidR="006A7A70" w:rsidRPr="00B60386" w:rsidRDefault="006A7A70" w:rsidP="006A7A70">
      <w:pPr>
        <w:ind w:left="284"/>
        <w:jc w:val="both"/>
        <w:rPr>
          <w:bCs/>
        </w:rPr>
      </w:pPr>
      <w:r w:rsidRPr="00B60386">
        <w:t>3. Devis informel = Dans la mesure du possible seront obtenus sous forme de publicités ou par la voie de demandes directes et autres, notamment auprès d’entrepreneurs ou de fournisseurs, afin de pouvoir comparer les prix.</w:t>
      </w:r>
    </w:p>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 Regular">
    <w:panose1 w:val="02000603040000020004"/>
    <w:charset w:val="00"/>
    <w:family w:val="modern"/>
    <w:notTrueType/>
    <w:pitch w:val="variable"/>
    <w:sig w:usb0="800000AF" w:usb1="5000204A"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70"/>
    <w:rsid w:val="00240355"/>
    <w:rsid w:val="006A7A70"/>
    <w:rsid w:val="006C67A6"/>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0A275-68D5-40A1-8493-EAD0E52E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70"/>
    <w:pPr>
      <w:spacing w:before="120" w:after="120" w:line="276"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6A7A70"/>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7A70"/>
    <w:rPr>
      <w:rFonts w:ascii="Calibri" w:eastAsiaTheme="majorEastAsia" w:hAnsi="Calibri" w:cstheme="majorBidi"/>
      <w:b/>
      <w:iCs/>
      <w:color w:val="2E74B5" w:themeColor="accent1" w:themeShade="BF"/>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Org</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2018-02-27T18:02:00Z</dcterms:created>
  <dcterms:modified xsi:type="dcterms:W3CDTF">2018-02-27T18:02:00Z</dcterms:modified>
</cp:coreProperties>
</file>