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10" w:rsidRPr="00950113" w:rsidRDefault="008B2210" w:rsidP="008B2210">
      <w:pPr>
        <w:pStyle w:val="Heading4"/>
        <w:ind w:left="0"/>
      </w:pPr>
      <w:r w:rsidRPr="00950113">
        <w:t>Périodes de conservation des documents</w:t>
      </w:r>
    </w:p>
    <w:p w:rsidR="008B2210" w:rsidRPr="00950113" w:rsidRDefault="008B2210" w:rsidP="008B2210">
      <w:pPr>
        <w:jc w:val="both"/>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8"/>
        <w:gridCol w:w="2610"/>
      </w:tblGrid>
      <w:tr w:rsidR="008B2210" w:rsidRPr="00950113" w:rsidTr="00AD596A">
        <w:trPr>
          <w:trHeight w:val="359"/>
        </w:trPr>
        <w:tc>
          <w:tcPr>
            <w:tcW w:w="7128" w:type="dxa"/>
            <w:shd w:val="clear" w:color="auto" w:fill="C00000"/>
          </w:tcPr>
          <w:p w:rsidR="008B2210" w:rsidRPr="00950113" w:rsidRDefault="008B2210" w:rsidP="00AD596A">
            <w:pPr>
              <w:ind w:left="30"/>
            </w:pPr>
            <w:r w:rsidRPr="00950113">
              <w:t>Dossier ou information</w:t>
            </w:r>
          </w:p>
        </w:tc>
        <w:tc>
          <w:tcPr>
            <w:tcW w:w="2610" w:type="dxa"/>
            <w:shd w:val="clear" w:color="auto" w:fill="C00000"/>
          </w:tcPr>
          <w:p w:rsidR="008B2210" w:rsidRPr="00950113" w:rsidRDefault="008B2210" w:rsidP="00AD596A">
            <w:pPr>
              <w:ind w:left="30"/>
            </w:pPr>
            <w:r w:rsidRPr="00950113">
              <w:t>Durée</w:t>
            </w:r>
          </w:p>
        </w:tc>
      </w:tr>
      <w:tr w:rsidR="008B2210" w:rsidRPr="00950113" w:rsidTr="00AD596A">
        <w:tc>
          <w:tcPr>
            <w:tcW w:w="9738" w:type="dxa"/>
            <w:gridSpan w:val="2"/>
            <w:shd w:val="clear" w:color="auto" w:fill="DDDDDD"/>
          </w:tcPr>
          <w:p w:rsidR="008B2210" w:rsidRPr="00950113" w:rsidRDefault="008B2210" w:rsidP="00AD596A">
            <w:pPr>
              <w:ind w:left="30"/>
            </w:pPr>
            <w:r w:rsidRPr="00950113">
              <w:t>Dossiers généraux de la Première Nation sur la gouvernance</w:t>
            </w:r>
          </w:p>
        </w:tc>
      </w:tr>
      <w:tr w:rsidR="008B2210" w:rsidRPr="00950113" w:rsidTr="00AD596A">
        <w:tc>
          <w:tcPr>
            <w:tcW w:w="7128" w:type="dxa"/>
          </w:tcPr>
          <w:p w:rsidR="008B2210" w:rsidRPr="00950113" w:rsidRDefault="008B2210" w:rsidP="00AD596A">
            <w:pPr>
              <w:spacing w:after="0"/>
              <w:ind w:left="30"/>
            </w:pPr>
            <w:r w:rsidRPr="00950113">
              <w:t>Règlements administratifs de la Première Nation, modifications à ceux-ci, constitution et résolutions des membres</w:t>
            </w:r>
          </w:p>
        </w:tc>
        <w:tc>
          <w:tcPr>
            <w:tcW w:w="2610" w:type="dxa"/>
          </w:tcPr>
          <w:p w:rsidR="008B2210" w:rsidRPr="00950113" w:rsidRDefault="008B2210" w:rsidP="00AD596A">
            <w:pPr>
              <w:spacing w:after="0"/>
              <w:ind w:left="0"/>
            </w:pPr>
            <w:r w:rsidRPr="00950113">
              <w:t xml:space="preserve">Permanent </w:t>
            </w:r>
          </w:p>
        </w:tc>
      </w:tr>
      <w:tr w:rsidR="008B2210" w:rsidRPr="00950113" w:rsidTr="00AD596A">
        <w:tc>
          <w:tcPr>
            <w:tcW w:w="7128" w:type="dxa"/>
          </w:tcPr>
          <w:p w:rsidR="008B2210" w:rsidRPr="00950113" w:rsidRDefault="008B2210" w:rsidP="00AD596A">
            <w:pPr>
              <w:spacing w:after="0"/>
              <w:ind w:left="30"/>
            </w:pPr>
            <w:r w:rsidRPr="00950113">
              <w:t>Nominations et conditions</w:t>
            </w:r>
          </w:p>
        </w:tc>
        <w:tc>
          <w:tcPr>
            <w:tcW w:w="2610" w:type="dxa"/>
          </w:tcPr>
          <w:p w:rsidR="008B2210" w:rsidRPr="00950113" w:rsidRDefault="008B2210" w:rsidP="00AD596A">
            <w:pPr>
              <w:spacing w:after="0"/>
              <w:ind w:left="0"/>
            </w:pPr>
            <w:r w:rsidRPr="00950113">
              <w:t xml:space="preserve">Permanent </w:t>
            </w:r>
          </w:p>
        </w:tc>
      </w:tr>
      <w:tr w:rsidR="008B2210" w:rsidRPr="00950113" w:rsidTr="00AD596A">
        <w:tc>
          <w:tcPr>
            <w:tcW w:w="7128" w:type="dxa"/>
          </w:tcPr>
          <w:p w:rsidR="008B2210" w:rsidRPr="00950113" w:rsidRDefault="008B2210" w:rsidP="00AD596A">
            <w:pPr>
              <w:spacing w:after="0"/>
              <w:ind w:left="30"/>
            </w:pPr>
            <w:r w:rsidRPr="00950113">
              <w:t>Législation pertinente, conventions, ententes de financement, engagements du Conseil, codes fonciers en vigueur ou accords d’administration financière pour le pétrole et le gaz ainsi que pour la gestion de la trésorerie</w:t>
            </w:r>
          </w:p>
        </w:tc>
        <w:tc>
          <w:tcPr>
            <w:tcW w:w="2610" w:type="dxa"/>
          </w:tcPr>
          <w:p w:rsidR="008B2210" w:rsidRPr="00950113" w:rsidRDefault="008B2210" w:rsidP="00AD596A">
            <w:pPr>
              <w:spacing w:after="0"/>
              <w:ind w:left="0"/>
            </w:pPr>
            <w:r w:rsidRPr="00950113">
              <w:t xml:space="preserve">Permanent </w:t>
            </w:r>
          </w:p>
        </w:tc>
      </w:tr>
      <w:tr w:rsidR="008B2210" w:rsidRPr="00950113" w:rsidTr="00AD596A">
        <w:tc>
          <w:tcPr>
            <w:tcW w:w="7128" w:type="dxa"/>
          </w:tcPr>
          <w:p w:rsidR="008B2210" w:rsidRPr="00950113" w:rsidRDefault="008B2210" w:rsidP="00AD596A">
            <w:pPr>
              <w:spacing w:after="0"/>
              <w:ind w:left="30"/>
            </w:pPr>
            <w:r w:rsidRPr="00950113">
              <w:rPr>
                <w:i/>
              </w:rPr>
              <w:t>Loi sur l’administration financière</w:t>
            </w:r>
            <w:r w:rsidRPr="00950113">
              <w:t xml:space="preserve"> de la Première Nation</w:t>
            </w:r>
          </w:p>
        </w:tc>
        <w:tc>
          <w:tcPr>
            <w:tcW w:w="2610" w:type="dxa"/>
          </w:tcPr>
          <w:p w:rsidR="008B2210" w:rsidRPr="00950113" w:rsidRDefault="008B2210" w:rsidP="00AD596A">
            <w:pPr>
              <w:spacing w:after="0"/>
              <w:ind w:left="0"/>
            </w:pPr>
            <w:r w:rsidRPr="00950113">
              <w:t xml:space="preserve">Permanent </w:t>
            </w:r>
          </w:p>
        </w:tc>
      </w:tr>
      <w:tr w:rsidR="008B2210" w:rsidRPr="00950113" w:rsidTr="00AD596A">
        <w:tc>
          <w:tcPr>
            <w:tcW w:w="7128" w:type="dxa"/>
          </w:tcPr>
          <w:p w:rsidR="008B2210" w:rsidRPr="00950113" w:rsidRDefault="008B2210" w:rsidP="00AD596A">
            <w:pPr>
              <w:spacing w:after="0"/>
              <w:ind w:left="30"/>
            </w:pPr>
            <w:r w:rsidRPr="00950113">
              <w:t>Loi ou règlement administratif de la Première Nation en matière d’impôts fonciers</w:t>
            </w: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Loi de la Première Nation sur les emprunts</w:t>
            </w: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Procès-verbaux des réunions du Conseil et de ses différents comités, rapports annuels, registres des débentures e</w:t>
            </w:r>
            <w:r>
              <w:t>t ceux propres au Conseils, aux </w:t>
            </w:r>
            <w:r w:rsidRPr="00950113">
              <w:t>comités et aux membres, avis publics, registres d’incorporation et sceau</w:t>
            </w:r>
            <w:r>
              <w:t xml:space="preserve"> </w:t>
            </w:r>
          </w:p>
        </w:tc>
        <w:tc>
          <w:tcPr>
            <w:tcW w:w="2610" w:type="dxa"/>
          </w:tcPr>
          <w:p w:rsidR="008B2210" w:rsidRPr="00950113" w:rsidRDefault="008B2210" w:rsidP="00AD596A">
            <w:pPr>
              <w:spacing w:after="0"/>
              <w:ind w:left="0"/>
            </w:pPr>
            <w:r w:rsidRPr="00950113">
              <w:t xml:space="preserve">Permanent </w:t>
            </w:r>
          </w:p>
        </w:tc>
      </w:tr>
      <w:tr w:rsidR="008B2210" w:rsidRPr="00950113" w:rsidTr="00AD596A">
        <w:tc>
          <w:tcPr>
            <w:tcW w:w="9738" w:type="dxa"/>
            <w:gridSpan w:val="2"/>
            <w:shd w:val="clear" w:color="auto" w:fill="DDDDDD"/>
          </w:tcPr>
          <w:p w:rsidR="008B2210" w:rsidRPr="00950113" w:rsidRDefault="008B2210" w:rsidP="00AD596A">
            <w:pPr>
              <w:spacing w:after="0"/>
              <w:ind w:left="0"/>
            </w:pPr>
            <w:r w:rsidRPr="00950113">
              <w:t>Dossiers et documents juridiques</w:t>
            </w:r>
          </w:p>
        </w:tc>
      </w:tr>
      <w:tr w:rsidR="008B2210" w:rsidRPr="00950113" w:rsidTr="00AD596A">
        <w:tc>
          <w:tcPr>
            <w:tcW w:w="7128" w:type="dxa"/>
          </w:tcPr>
          <w:p w:rsidR="008B2210" w:rsidRPr="00950113" w:rsidRDefault="008B2210" w:rsidP="00AD596A">
            <w:pPr>
              <w:spacing w:after="0"/>
              <w:ind w:left="30"/>
            </w:pPr>
            <w:r w:rsidRPr="00950113">
              <w:t>Contrats avec clients ou fournisseurs et correspondance sur les conditions contractuelles</w:t>
            </w:r>
          </w:p>
        </w:tc>
        <w:tc>
          <w:tcPr>
            <w:tcW w:w="2610" w:type="dxa"/>
          </w:tcPr>
          <w:p w:rsidR="008B2210" w:rsidRPr="00950113" w:rsidRDefault="008B2210" w:rsidP="00AD596A">
            <w:pPr>
              <w:spacing w:after="0"/>
              <w:ind w:left="0"/>
            </w:pPr>
            <w:r w:rsidRPr="00950113">
              <w:t>7 ans après échéance du contrat</w:t>
            </w:r>
          </w:p>
        </w:tc>
      </w:tr>
      <w:tr w:rsidR="008B2210" w:rsidRPr="00950113" w:rsidTr="00AD596A">
        <w:tc>
          <w:tcPr>
            <w:tcW w:w="7128" w:type="dxa"/>
          </w:tcPr>
          <w:p w:rsidR="008B2210" w:rsidRPr="00950113" w:rsidRDefault="008B2210" w:rsidP="00AD596A">
            <w:pPr>
              <w:spacing w:after="0"/>
              <w:ind w:left="30"/>
            </w:pPr>
            <w:r w:rsidRPr="00950113">
              <w:t>Ententes contractuelles et autres (p. ex., sur les contributions, répercussions et avantages ou fiducies) de la Première Nation avec un tiers ainsi que correspondance sur les conditions contractuelles</w:t>
            </w:r>
          </w:p>
        </w:tc>
        <w:tc>
          <w:tcPr>
            <w:tcW w:w="2610" w:type="dxa"/>
          </w:tcPr>
          <w:p w:rsidR="008B2210" w:rsidRPr="00950113" w:rsidRDefault="008B2210" w:rsidP="00AD596A">
            <w:pPr>
              <w:spacing w:after="0"/>
              <w:ind w:left="0"/>
            </w:pPr>
            <w:r w:rsidRPr="00950113">
              <w:t>7 ans après échéance du contrat</w:t>
            </w:r>
          </w:p>
        </w:tc>
      </w:tr>
      <w:tr w:rsidR="008B2210" w:rsidRPr="00950113" w:rsidTr="00AD596A">
        <w:tc>
          <w:tcPr>
            <w:tcW w:w="7128" w:type="dxa"/>
          </w:tcPr>
          <w:p w:rsidR="008B2210" w:rsidRPr="00950113" w:rsidRDefault="008B2210" w:rsidP="00AD596A">
            <w:pPr>
              <w:spacing w:after="0"/>
              <w:ind w:left="30"/>
            </w:pPr>
            <w:r w:rsidRPr="00950113">
              <w:t xml:space="preserve">Documents en rapport avec les litiges importants, notamment en cas d’inconduite liée à des questions financières à l’interne </w:t>
            </w:r>
          </w:p>
        </w:tc>
        <w:tc>
          <w:tcPr>
            <w:tcW w:w="2610" w:type="dxa"/>
          </w:tcPr>
          <w:p w:rsidR="008B2210" w:rsidRPr="00950113" w:rsidRDefault="008B2210" w:rsidP="00AD596A">
            <w:pPr>
              <w:spacing w:after="0"/>
              <w:ind w:left="0"/>
            </w:pPr>
            <w:r w:rsidRPr="00950113">
              <w:t>5 ans après la fin de la période prévue pour un appel en justice ou selon ce que le conseiller juridique précise</w:t>
            </w:r>
          </w:p>
        </w:tc>
      </w:tr>
      <w:tr w:rsidR="008B2210" w:rsidRPr="00950113" w:rsidTr="00AD596A">
        <w:tc>
          <w:tcPr>
            <w:tcW w:w="7128" w:type="dxa"/>
          </w:tcPr>
          <w:p w:rsidR="008B2210" w:rsidRPr="00950113" w:rsidRDefault="008B2210" w:rsidP="00AD596A">
            <w:pPr>
              <w:spacing w:after="0"/>
              <w:ind w:left="30"/>
            </w:pPr>
            <w:r w:rsidRPr="00950113">
              <w:t xml:space="preserve">Documents en rapport avec les litiges moins importants, notamment en cas d’inconduite liée à des questions financières à l’interne </w:t>
            </w:r>
          </w:p>
        </w:tc>
        <w:tc>
          <w:tcPr>
            <w:tcW w:w="2610" w:type="dxa"/>
          </w:tcPr>
          <w:p w:rsidR="008B2210" w:rsidRPr="00950113" w:rsidRDefault="008B2210" w:rsidP="00AD596A">
            <w:pPr>
              <w:spacing w:after="0"/>
              <w:ind w:left="0"/>
            </w:pPr>
            <w:r w:rsidRPr="00950113">
              <w:t>2 ans après la fin de la période prévue pour un appel en justice</w:t>
            </w:r>
          </w:p>
        </w:tc>
      </w:tr>
      <w:tr w:rsidR="008B2210" w:rsidRPr="00950113" w:rsidTr="00AD596A">
        <w:tc>
          <w:tcPr>
            <w:tcW w:w="7128" w:type="dxa"/>
          </w:tcPr>
          <w:p w:rsidR="008B2210" w:rsidRPr="00950113" w:rsidRDefault="008B2210" w:rsidP="00AD596A">
            <w:pPr>
              <w:spacing w:after="0"/>
              <w:ind w:left="30"/>
            </w:pPr>
            <w:r w:rsidRPr="00950113">
              <w:t>Polices d’assurance, dont celles en matière de responsabilité</w:t>
            </w:r>
            <w:r>
              <w:t xml:space="preserve"> </w:t>
            </w:r>
            <w:r w:rsidRPr="00950113">
              <w:t xml:space="preserve">l’égard de produits ou de services, de responsabilité civile, générale et autre, de biens et en cas d’activités criminelles </w:t>
            </w:r>
          </w:p>
        </w:tc>
        <w:tc>
          <w:tcPr>
            <w:tcW w:w="2610" w:type="dxa"/>
          </w:tcPr>
          <w:p w:rsidR="008B2210" w:rsidRPr="00950113" w:rsidRDefault="008B2210" w:rsidP="00AD596A">
            <w:pPr>
              <w:spacing w:after="0"/>
              <w:ind w:left="0"/>
            </w:pPr>
            <w:r w:rsidRPr="00950113">
              <w:t>7 ans après la résiliation de la police</w:t>
            </w:r>
          </w:p>
        </w:tc>
      </w:tr>
      <w:tr w:rsidR="008B2210" w:rsidRPr="00950113" w:rsidTr="00AD596A">
        <w:tc>
          <w:tcPr>
            <w:tcW w:w="7128" w:type="dxa"/>
          </w:tcPr>
          <w:p w:rsidR="008B2210" w:rsidRPr="00950113" w:rsidRDefault="008B2210" w:rsidP="00AD596A">
            <w:pPr>
              <w:spacing w:after="0"/>
              <w:ind w:left="30"/>
            </w:pPr>
            <w:r w:rsidRPr="00950113">
              <w:t xml:space="preserve">Documents au sujet de l’achat, de la vente ou de la location de propriétés </w:t>
            </w:r>
          </w:p>
          <w:p w:rsidR="008B2210" w:rsidRPr="00950113" w:rsidRDefault="008B2210" w:rsidP="00AD596A">
            <w:pPr>
              <w:spacing w:after="0"/>
              <w:ind w:left="30"/>
            </w:pP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 xml:space="preserve">Documents sur les placements de portefeuille ou coentreprises </w:t>
            </w:r>
          </w:p>
        </w:tc>
        <w:tc>
          <w:tcPr>
            <w:tcW w:w="2610" w:type="dxa"/>
          </w:tcPr>
          <w:p w:rsidR="008B2210" w:rsidRPr="00950113" w:rsidRDefault="008B2210" w:rsidP="00AD596A">
            <w:pPr>
              <w:spacing w:after="0"/>
              <w:ind w:left="0"/>
            </w:pPr>
            <w:r w:rsidRPr="00950113">
              <w:t>Permanent</w:t>
            </w:r>
          </w:p>
        </w:tc>
      </w:tr>
      <w:tr w:rsidR="008B2210" w:rsidRPr="00950113" w:rsidTr="00AD596A">
        <w:tc>
          <w:tcPr>
            <w:tcW w:w="9738" w:type="dxa"/>
            <w:gridSpan w:val="2"/>
            <w:shd w:val="clear" w:color="auto" w:fill="DDDDDD"/>
          </w:tcPr>
          <w:p w:rsidR="008B2210" w:rsidRPr="00950113" w:rsidRDefault="008B2210" w:rsidP="00AD596A">
            <w:pPr>
              <w:keepNext/>
              <w:spacing w:after="0"/>
              <w:ind w:left="0"/>
            </w:pPr>
            <w:r w:rsidRPr="00950113">
              <w:t>Ressources humaines</w:t>
            </w:r>
          </w:p>
        </w:tc>
      </w:tr>
      <w:tr w:rsidR="008B2210" w:rsidRPr="00950113" w:rsidTr="00AD596A">
        <w:tc>
          <w:tcPr>
            <w:tcW w:w="7128" w:type="dxa"/>
          </w:tcPr>
          <w:p w:rsidR="008B2210" w:rsidRPr="00950113" w:rsidRDefault="008B2210" w:rsidP="00AD596A">
            <w:pPr>
              <w:keepNext/>
              <w:spacing w:after="0"/>
              <w:ind w:left="30"/>
            </w:pPr>
            <w:r w:rsidRPr="00950113">
              <w:t>Guides et procédures visant le personnel</w:t>
            </w:r>
          </w:p>
        </w:tc>
        <w:tc>
          <w:tcPr>
            <w:tcW w:w="2610" w:type="dxa"/>
          </w:tcPr>
          <w:p w:rsidR="008B2210" w:rsidRPr="00950113" w:rsidRDefault="008B2210" w:rsidP="00AD596A">
            <w:pPr>
              <w:keepNext/>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Organigrammes</w:t>
            </w: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lastRenderedPageBreak/>
              <w:t>Régimes de retraite (à l’exclusion des REER) le cas échéant :</w:t>
            </w:r>
          </w:p>
          <w:p w:rsidR="008B2210" w:rsidRPr="00950113" w:rsidRDefault="008B2210" w:rsidP="00AD596A">
            <w:pPr>
              <w:spacing w:after="0"/>
              <w:ind w:left="30"/>
            </w:pPr>
            <w:r w:rsidRPr="00950113">
              <w:t>Originaux des documents</w:t>
            </w:r>
          </w:p>
          <w:p w:rsidR="008B2210" w:rsidRPr="00950113" w:rsidRDefault="008B2210" w:rsidP="00AD596A">
            <w:pPr>
              <w:spacing w:after="0"/>
              <w:ind w:left="30"/>
            </w:pPr>
            <w:r w:rsidRPr="00950113">
              <w:t>Registres d’admissibilité et du service des employés ouvrant droit à pension</w:t>
            </w:r>
          </w:p>
          <w:p w:rsidR="008B2210" w:rsidRPr="00950113" w:rsidRDefault="008B2210" w:rsidP="00AD596A">
            <w:pPr>
              <w:spacing w:after="0"/>
              <w:ind w:left="30"/>
            </w:pPr>
            <w:r w:rsidRPr="00950113">
              <w:t xml:space="preserve">Renseignements personnels connexes dont le nom, l’adresse, le numéro d’assurance sociale, les antécédents de rémunération et le taux de pension </w:t>
            </w:r>
          </w:p>
        </w:tc>
        <w:tc>
          <w:tcPr>
            <w:tcW w:w="2610" w:type="dxa"/>
          </w:tcPr>
          <w:p w:rsidR="008B2210" w:rsidRPr="00950113" w:rsidRDefault="008B2210" w:rsidP="00AD596A">
            <w:pPr>
              <w:spacing w:after="0"/>
              <w:ind w:left="0"/>
            </w:pPr>
            <w:r w:rsidRPr="00950113">
              <w:t>7 ans après le décès de l’employé ou de son conjoi</w:t>
            </w:r>
            <w:r>
              <w:t>nt en cas d’admissibilité de ce </w:t>
            </w:r>
            <w:r w:rsidRPr="00950113">
              <w:t>dernier</w:t>
            </w:r>
          </w:p>
        </w:tc>
      </w:tr>
      <w:tr w:rsidR="008B2210" w:rsidRPr="00950113" w:rsidTr="00AD596A">
        <w:tc>
          <w:tcPr>
            <w:tcW w:w="7128" w:type="dxa"/>
          </w:tcPr>
          <w:p w:rsidR="008B2210" w:rsidRPr="00950113" w:rsidRDefault="008B2210" w:rsidP="00AD596A">
            <w:pPr>
              <w:spacing w:after="0"/>
              <w:ind w:left="30"/>
            </w:pPr>
            <w:r w:rsidRPr="00950113">
              <w:t>Lettres d’offre et contrats d’embauchage individuels</w:t>
            </w:r>
          </w:p>
          <w:p w:rsidR="008B2210" w:rsidRPr="00950113" w:rsidRDefault="008B2210" w:rsidP="00AD596A">
            <w:pPr>
              <w:spacing w:after="0"/>
              <w:ind w:left="30"/>
            </w:pPr>
          </w:p>
        </w:tc>
        <w:tc>
          <w:tcPr>
            <w:tcW w:w="2610" w:type="dxa"/>
          </w:tcPr>
          <w:p w:rsidR="008B2210" w:rsidRPr="00950113" w:rsidRDefault="008B2210" w:rsidP="00AD596A">
            <w:pPr>
              <w:spacing w:after="0"/>
              <w:ind w:left="0"/>
            </w:pPr>
            <w:r w:rsidRPr="00950113">
              <w:t>2 ans après la cessation d’emploi</w:t>
            </w:r>
          </w:p>
        </w:tc>
      </w:tr>
      <w:tr w:rsidR="008B2210" w:rsidRPr="00950113" w:rsidTr="00AD596A">
        <w:tc>
          <w:tcPr>
            <w:tcW w:w="7128" w:type="dxa"/>
          </w:tcPr>
          <w:p w:rsidR="008B2210" w:rsidRPr="00950113" w:rsidRDefault="008B2210" w:rsidP="00AD596A">
            <w:pPr>
              <w:spacing w:after="0"/>
              <w:ind w:left="30"/>
            </w:pPr>
            <w:r w:rsidRPr="00950113">
              <w:t>Documents dûment signés sur les obligations découlant du code de conduite et les déclarations à faire en cas de conflit d’intérêts</w:t>
            </w:r>
          </w:p>
        </w:tc>
        <w:tc>
          <w:tcPr>
            <w:tcW w:w="2610" w:type="dxa"/>
          </w:tcPr>
          <w:p w:rsidR="008B2210" w:rsidRPr="00950113" w:rsidRDefault="008B2210" w:rsidP="00AD596A">
            <w:pPr>
              <w:spacing w:after="0"/>
              <w:ind w:left="0"/>
            </w:pPr>
            <w:r w:rsidRPr="00950113">
              <w:t>2 ans après la cessation d’emploi</w:t>
            </w:r>
          </w:p>
        </w:tc>
      </w:tr>
      <w:tr w:rsidR="008B2210" w:rsidRPr="00950113" w:rsidTr="00AD596A">
        <w:tc>
          <w:tcPr>
            <w:tcW w:w="7128" w:type="dxa"/>
          </w:tcPr>
          <w:p w:rsidR="008B2210" w:rsidRPr="00950113" w:rsidRDefault="008B2210" w:rsidP="00AD596A">
            <w:pPr>
              <w:spacing w:after="0"/>
              <w:ind w:left="30"/>
            </w:pPr>
            <w:r w:rsidRPr="00950113">
              <w:t>Fiches de présences</w:t>
            </w:r>
          </w:p>
        </w:tc>
        <w:tc>
          <w:tcPr>
            <w:tcW w:w="2610" w:type="dxa"/>
          </w:tcPr>
          <w:p w:rsidR="008B2210" w:rsidRPr="00950113" w:rsidRDefault="008B2210" w:rsidP="00AD596A">
            <w:pPr>
              <w:spacing w:after="0"/>
              <w:ind w:left="0"/>
            </w:pPr>
            <w:r w:rsidRPr="00950113">
              <w:t>2 ans après la cessation d’emploi</w:t>
            </w:r>
          </w:p>
        </w:tc>
      </w:tr>
      <w:tr w:rsidR="008B2210" w:rsidRPr="00950113" w:rsidTr="00AD596A">
        <w:tc>
          <w:tcPr>
            <w:tcW w:w="7128" w:type="dxa"/>
          </w:tcPr>
          <w:p w:rsidR="008B2210" w:rsidRPr="00950113" w:rsidRDefault="008B2210" w:rsidP="00AD596A">
            <w:pPr>
              <w:spacing w:after="0"/>
              <w:ind w:left="30"/>
            </w:pPr>
            <w:r w:rsidRPr="00950113">
              <w:t>Renseignements financiers comme les antécédents de paie, notamment les cotisations à un REER ou les commissions et les primes touchées</w:t>
            </w:r>
          </w:p>
        </w:tc>
        <w:tc>
          <w:tcPr>
            <w:tcW w:w="2610" w:type="dxa"/>
          </w:tcPr>
          <w:p w:rsidR="008B2210" w:rsidRPr="00950113" w:rsidRDefault="008B2210" w:rsidP="00AD596A">
            <w:pPr>
              <w:spacing w:after="0"/>
              <w:ind w:left="0"/>
            </w:pPr>
            <w:r w:rsidRPr="00950113">
              <w:t>2 ans après la cessation d’emploi</w:t>
            </w:r>
          </w:p>
        </w:tc>
      </w:tr>
      <w:tr w:rsidR="008B2210" w:rsidRPr="00950113" w:rsidTr="00AD596A">
        <w:tc>
          <w:tcPr>
            <w:tcW w:w="7128" w:type="dxa"/>
          </w:tcPr>
          <w:p w:rsidR="008B2210" w:rsidRPr="00950113" w:rsidRDefault="008B2210" w:rsidP="00AD596A">
            <w:pPr>
              <w:spacing w:after="0"/>
              <w:ind w:left="30"/>
            </w:pPr>
            <w:r w:rsidRPr="00950113">
              <w:t>Renseignements médicaux</w:t>
            </w:r>
          </w:p>
        </w:tc>
        <w:tc>
          <w:tcPr>
            <w:tcW w:w="2610" w:type="dxa"/>
          </w:tcPr>
          <w:p w:rsidR="008B2210" w:rsidRPr="00950113" w:rsidRDefault="008B2210" w:rsidP="00AD596A">
            <w:pPr>
              <w:spacing w:after="0"/>
              <w:ind w:left="0"/>
            </w:pPr>
            <w:r w:rsidRPr="00950113">
              <w:t>2 ans après la cessation d’emploi</w:t>
            </w:r>
          </w:p>
        </w:tc>
      </w:tr>
      <w:tr w:rsidR="008B2210" w:rsidRPr="00950113" w:rsidTr="00AD596A">
        <w:tc>
          <w:tcPr>
            <w:tcW w:w="7128" w:type="dxa"/>
          </w:tcPr>
          <w:p w:rsidR="008B2210" w:rsidRPr="00950113" w:rsidRDefault="008B2210" w:rsidP="00AD596A">
            <w:pPr>
              <w:spacing w:after="0"/>
              <w:ind w:left="30"/>
            </w:pPr>
            <w:r w:rsidRPr="00950113">
              <w:t>Descriptions de travail</w:t>
            </w:r>
          </w:p>
        </w:tc>
        <w:tc>
          <w:tcPr>
            <w:tcW w:w="2610" w:type="dxa"/>
          </w:tcPr>
          <w:p w:rsidR="008B2210" w:rsidRPr="00950113" w:rsidRDefault="008B2210" w:rsidP="00AD596A">
            <w:pPr>
              <w:spacing w:after="0"/>
              <w:ind w:left="0"/>
            </w:pPr>
            <w:r w:rsidRPr="00950113">
              <w:t>2 ans après échéance de la période d’applicabilité</w:t>
            </w:r>
          </w:p>
        </w:tc>
      </w:tr>
      <w:tr w:rsidR="008B2210" w:rsidRPr="00950113" w:rsidTr="00AD596A">
        <w:tc>
          <w:tcPr>
            <w:tcW w:w="7128" w:type="dxa"/>
          </w:tcPr>
          <w:p w:rsidR="008B2210" w:rsidRPr="00950113" w:rsidRDefault="008B2210" w:rsidP="00AD596A">
            <w:pPr>
              <w:spacing w:after="0"/>
              <w:ind w:left="30"/>
            </w:pPr>
            <w:r w:rsidRPr="00950113">
              <w:t>Évaluations du rendement</w:t>
            </w:r>
          </w:p>
        </w:tc>
        <w:tc>
          <w:tcPr>
            <w:tcW w:w="2610" w:type="dxa"/>
          </w:tcPr>
          <w:p w:rsidR="008B2210" w:rsidRPr="00950113" w:rsidRDefault="008B2210" w:rsidP="00AD596A">
            <w:pPr>
              <w:spacing w:after="0"/>
              <w:ind w:left="0"/>
            </w:pPr>
            <w:r w:rsidRPr="00950113">
              <w:t>2 ans après échéance de la période d’applicabilité</w:t>
            </w:r>
          </w:p>
        </w:tc>
      </w:tr>
      <w:tr w:rsidR="008B2210" w:rsidRPr="00950113" w:rsidTr="00AD596A">
        <w:tc>
          <w:tcPr>
            <w:tcW w:w="7128" w:type="dxa"/>
          </w:tcPr>
          <w:p w:rsidR="008B2210" w:rsidRPr="00950113" w:rsidRDefault="008B2210" w:rsidP="00AD596A">
            <w:pPr>
              <w:spacing w:after="0"/>
              <w:ind w:left="30"/>
            </w:pPr>
            <w:r w:rsidRPr="00950113">
              <w:t>Demandes d’emploi, curriculums vitæ et correspondance en rapport avec des personnes qui n’ont pas été embauchées</w:t>
            </w:r>
          </w:p>
        </w:tc>
        <w:tc>
          <w:tcPr>
            <w:tcW w:w="2610" w:type="dxa"/>
          </w:tcPr>
          <w:p w:rsidR="008B2210" w:rsidRPr="00950113" w:rsidRDefault="008B2210" w:rsidP="00AD596A">
            <w:pPr>
              <w:spacing w:after="0"/>
              <w:ind w:left="0"/>
            </w:pPr>
            <w:r w:rsidRPr="00950113">
              <w:t>2 ans après échéance de la période d’applicabilité</w:t>
            </w:r>
          </w:p>
        </w:tc>
      </w:tr>
      <w:tr w:rsidR="008B2210" w:rsidRPr="00950113" w:rsidTr="00AD596A">
        <w:tc>
          <w:tcPr>
            <w:tcW w:w="9738" w:type="dxa"/>
            <w:gridSpan w:val="2"/>
            <w:shd w:val="clear" w:color="auto" w:fill="DDDDDD"/>
          </w:tcPr>
          <w:p w:rsidR="008B2210" w:rsidRPr="00950113" w:rsidRDefault="008B2210" w:rsidP="00AD596A">
            <w:pPr>
              <w:keepNext/>
              <w:spacing w:after="0"/>
              <w:ind w:left="0"/>
            </w:pPr>
            <w:r w:rsidRPr="00950113">
              <w:lastRenderedPageBreak/>
              <w:t>Registres financiers</w:t>
            </w:r>
          </w:p>
        </w:tc>
      </w:tr>
      <w:tr w:rsidR="008B2210" w:rsidRPr="00950113" w:rsidTr="00AD596A">
        <w:tc>
          <w:tcPr>
            <w:tcW w:w="7128" w:type="dxa"/>
          </w:tcPr>
          <w:p w:rsidR="008B2210" w:rsidRPr="00950113" w:rsidRDefault="008B2210" w:rsidP="00AD596A">
            <w:pPr>
              <w:keepNext/>
              <w:spacing w:after="0"/>
              <w:ind w:left="30"/>
            </w:pPr>
            <w:r w:rsidRPr="00950113">
              <w:t>Manuels d’exploitation, procédures et lignes directrices sur les contrôles internes</w:t>
            </w:r>
          </w:p>
        </w:tc>
        <w:tc>
          <w:tcPr>
            <w:tcW w:w="2610" w:type="dxa"/>
          </w:tcPr>
          <w:p w:rsidR="008B2210" w:rsidRPr="00950113" w:rsidRDefault="008B2210" w:rsidP="00AD596A">
            <w:pPr>
              <w:keepNext/>
              <w:spacing w:after="0"/>
              <w:ind w:left="0"/>
            </w:pPr>
            <w:r w:rsidRPr="00950113">
              <w:t>Permanent</w:t>
            </w:r>
          </w:p>
        </w:tc>
      </w:tr>
      <w:tr w:rsidR="008B2210" w:rsidRPr="00950113" w:rsidTr="00AD596A">
        <w:tc>
          <w:tcPr>
            <w:tcW w:w="7128" w:type="dxa"/>
          </w:tcPr>
          <w:p w:rsidR="008B2210" w:rsidRPr="00950113" w:rsidRDefault="008B2210" w:rsidP="00AD596A">
            <w:pPr>
              <w:keepNext/>
              <w:spacing w:after="0"/>
              <w:ind w:left="30"/>
            </w:pPr>
            <w:r w:rsidRPr="00950113">
              <w:t>États financiers annuels dûment signés et rapports correspondants signés par un auditeur indépendant</w:t>
            </w:r>
          </w:p>
        </w:tc>
        <w:tc>
          <w:tcPr>
            <w:tcW w:w="2610" w:type="dxa"/>
          </w:tcPr>
          <w:p w:rsidR="008B2210" w:rsidRPr="00950113" w:rsidRDefault="008B2210" w:rsidP="00AD596A">
            <w:pPr>
              <w:keepNext/>
              <w:spacing w:after="0"/>
              <w:ind w:left="0"/>
            </w:pPr>
            <w:r w:rsidRPr="00950113">
              <w:t>Permanent</w:t>
            </w:r>
          </w:p>
        </w:tc>
      </w:tr>
      <w:tr w:rsidR="008B2210" w:rsidRPr="00950113" w:rsidTr="00AD596A">
        <w:tc>
          <w:tcPr>
            <w:tcW w:w="7128" w:type="dxa"/>
          </w:tcPr>
          <w:p w:rsidR="008B2210" w:rsidRPr="00950113" w:rsidRDefault="008B2210" w:rsidP="00AD596A">
            <w:pPr>
              <w:keepNext/>
              <w:spacing w:after="0"/>
              <w:ind w:left="30"/>
            </w:pPr>
            <w:r w:rsidRPr="00950113">
              <w:t xml:space="preserve">Rapports internes dont ceux qui suivent : </w:t>
            </w:r>
          </w:p>
          <w:p w:rsidR="008B2210" w:rsidRPr="00950113" w:rsidRDefault="008B2210" w:rsidP="00AD596A">
            <w:pPr>
              <w:keepNext/>
              <w:spacing w:after="0"/>
              <w:ind w:left="30"/>
            </w:pPr>
            <w:r w:rsidRPr="00950113">
              <w:t>Examens</w:t>
            </w:r>
          </w:p>
          <w:p w:rsidR="008B2210" w:rsidRPr="00950113" w:rsidRDefault="008B2210" w:rsidP="00AD596A">
            <w:pPr>
              <w:keepNext/>
              <w:spacing w:after="0"/>
              <w:ind w:left="30"/>
            </w:pPr>
            <w:r w:rsidRPr="00950113">
              <w:t>Rapports annuels sur les activités</w:t>
            </w:r>
          </w:p>
          <w:p w:rsidR="008B2210" w:rsidRPr="00950113" w:rsidRDefault="008B2210" w:rsidP="00AD596A">
            <w:pPr>
              <w:keepNext/>
              <w:spacing w:after="0"/>
              <w:ind w:left="30"/>
            </w:pPr>
            <w:r w:rsidRPr="00950113">
              <w:t>Rapports à des fins spéciales</w:t>
            </w:r>
          </w:p>
          <w:p w:rsidR="008B2210" w:rsidRPr="00950113" w:rsidRDefault="008B2210" w:rsidP="00AD596A">
            <w:pPr>
              <w:keepNext/>
              <w:spacing w:after="0"/>
              <w:ind w:left="30"/>
            </w:pPr>
            <w:r w:rsidRPr="00950113">
              <w:t>Rapports de vérification interne</w:t>
            </w:r>
          </w:p>
        </w:tc>
        <w:tc>
          <w:tcPr>
            <w:tcW w:w="2610" w:type="dxa"/>
          </w:tcPr>
          <w:p w:rsidR="008B2210" w:rsidRPr="00950113" w:rsidRDefault="008B2210" w:rsidP="00AD596A">
            <w:pPr>
              <w:keepNext/>
              <w:spacing w:after="0"/>
              <w:ind w:left="0"/>
            </w:pPr>
            <w:r w:rsidRPr="00950113">
              <w:t>10 ans</w:t>
            </w:r>
          </w:p>
        </w:tc>
      </w:tr>
      <w:tr w:rsidR="008B2210" w:rsidRPr="00950113" w:rsidTr="00AD596A">
        <w:tc>
          <w:tcPr>
            <w:tcW w:w="7128" w:type="dxa"/>
          </w:tcPr>
          <w:p w:rsidR="008B2210" w:rsidRPr="00950113" w:rsidRDefault="008B2210" w:rsidP="00AD596A">
            <w:pPr>
              <w:keepNext/>
              <w:spacing w:after="0"/>
              <w:ind w:left="30"/>
            </w:pPr>
            <w:r w:rsidRPr="00950113">
              <w:t>Documents comptables dont ceux qui suivent :</w:t>
            </w:r>
          </w:p>
          <w:p w:rsidR="008B2210" w:rsidRPr="00950113" w:rsidRDefault="008B2210" w:rsidP="00AD596A">
            <w:pPr>
              <w:keepNext/>
              <w:spacing w:after="0"/>
              <w:ind w:left="30"/>
            </w:pPr>
            <w:r w:rsidRPr="00950113">
              <w:t>Grands livres et journaux généraux, registres financiers et documents à l’appui</w:t>
            </w:r>
          </w:p>
          <w:p w:rsidR="008B2210" w:rsidRPr="00950113" w:rsidRDefault="008B2210" w:rsidP="00AD596A">
            <w:pPr>
              <w:keepNext/>
              <w:spacing w:after="0"/>
              <w:ind w:left="30"/>
            </w:pPr>
            <w:r w:rsidRPr="00950113">
              <w:t>États financiers mensuels et trimestriels</w:t>
            </w:r>
          </w:p>
          <w:p w:rsidR="008B2210" w:rsidRPr="00950113" w:rsidRDefault="008B2210" w:rsidP="00AD596A">
            <w:pPr>
              <w:keepNext/>
              <w:spacing w:after="0"/>
              <w:ind w:left="30"/>
            </w:pPr>
            <w:r w:rsidRPr="00950113">
              <w:t>Rapports de gestion mensuels et trimestriels</w:t>
            </w:r>
          </w:p>
          <w:p w:rsidR="008B2210" w:rsidRPr="00950113" w:rsidRDefault="008B2210" w:rsidP="00AD596A">
            <w:pPr>
              <w:keepNext/>
              <w:spacing w:after="0"/>
              <w:ind w:left="30"/>
            </w:pPr>
            <w:r w:rsidRPr="00950113">
              <w:t>Documents de travail pour la clôture financière et les rapports mensuels, trimestriels et annuels</w:t>
            </w:r>
          </w:p>
          <w:p w:rsidR="008B2210" w:rsidRPr="00950113" w:rsidRDefault="008B2210" w:rsidP="00AD596A">
            <w:pPr>
              <w:keepNext/>
              <w:spacing w:after="0"/>
              <w:ind w:left="30"/>
            </w:pPr>
            <w:r w:rsidRPr="00950113">
              <w:t>Relevés de comptes des institutions financières et rapprochements</w:t>
            </w:r>
          </w:p>
          <w:p w:rsidR="008B2210" w:rsidRPr="00950113" w:rsidRDefault="008B2210" w:rsidP="00AD596A">
            <w:pPr>
              <w:keepNext/>
              <w:spacing w:after="0"/>
              <w:ind w:left="30"/>
            </w:pPr>
            <w:r w:rsidRPr="00950113">
              <w:t>Chèques oblitérés et rubans de caisse enregistreuse</w:t>
            </w:r>
          </w:p>
          <w:p w:rsidR="008B2210" w:rsidRPr="00950113" w:rsidRDefault="008B2210" w:rsidP="00AD596A">
            <w:pPr>
              <w:keepNext/>
              <w:spacing w:after="0"/>
              <w:ind w:left="30"/>
            </w:pPr>
            <w:r w:rsidRPr="00950113">
              <w:t>Factures</w:t>
            </w:r>
          </w:p>
          <w:p w:rsidR="008B2210" w:rsidRPr="00950113" w:rsidRDefault="008B2210" w:rsidP="00AD596A">
            <w:pPr>
              <w:keepNext/>
              <w:spacing w:after="0"/>
              <w:ind w:left="30"/>
            </w:pPr>
            <w:r w:rsidRPr="00950113">
              <w:t>Budgets annuels</w:t>
            </w:r>
          </w:p>
          <w:p w:rsidR="008B2210" w:rsidRPr="00950113" w:rsidRDefault="008B2210" w:rsidP="00AD596A">
            <w:pPr>
              <w:keepNext/>
              <w:spacing w:after="0"/>
              <w:ind w:left="30"/>
            </w:pPr>
            <w:r w:rsidRPr="00950113">
              <w:t>Plans financiers pluriannuels</w:t>
            </w:r>
          </w:p>
        </w:tc>
        <w:tc>
          <w:tcPr>
            <w:tcW w:w="2610" w:type="dxa"/>
          </w:tcPr>
          <w:p w:rsidR="008B2210" w:rsidRPr="00950113" w:rsidRDefault="008B2210" w:rsidP="00AD596A">
            <w:pPr>
              <w:keepNext/>
              <w:spacing w:after="0"/>
              <w:ind w:left="0"/>
            </w:pPr>
            <w:r w:rsidRPr="00950113">
              <w:t>8 ans</w:t>
            </w:r>
          </w:p>
        </w:tc>
      </w:tr>
      <w:tr w:rsidR="008B2210" w:rsidRPr="00950113" w:rsidTr="00AD596A">
        <w:tc>
          <w:tcPr>
            <w:tcW w:w="7128" w:type="dxa"/>
          </w:tcPr>
          <w:p w:rsidR="008B2210" w:rsidRPr="00950113" w:rsidRDefault="008B2210" w:rsidP="00AD596A">
            <w:pPr>
              <w:spacing w:after="0"/>
              <w:ind w:left="30"/>
            </w:pPr>
            <w:r w:rsidRPr="00950113">
              <w:t>Documents de gestion des actifs dont ceux qui suivent :</w:t>
            </w:r>
          </w:p>
          <w:p w:rsidR="008B2210" w:rsidRPr="00950113" w:rsidRDefault="008B2210" w:rsidP="00AD596A">
            <w:pPr>
              <w:spacing w:after="0"/>
              <w:ind w:left="30"/>
            </w:pPr>
            <w:r w:rsidRPr="00950113">
              <w:t>Registres des immobilisations corporelles</w:t>
            </w:r>
          </w:p>
          <w:p w:rsidR="008B2210" w:rsidRPr="00950113" w:rsidRDefault="008B2210" w:rsidP="00AD596A">
            <w:pPr>
              <w:spacing w:after="0"/>
              <w:ind w:left="30"/>
            </w:pPr>
            <w:r w:rsidRPr="00950113">
              <w:t>Rapports sur les fonds de réserve</w:t>
            </w:r>
          </w:p>
          <w:p w:rsidR="008B2210" w:rsidRPr="00950113" w:rsidRDefault="008B2210" w:rsidP="00AD596A">
            <w:pPr>
              <w:spacing w:after="0"/>
              <w:ind w:left="30"/>
            </w:pPr>
            <w:r w:rsidRPr="00950113">
              <w:t>Tableaux de planification du cycle de vie</w:t>
            </w:r>
          </w:p>
          <w:p w:rsidR="008B2210" w:rsidRPr="00950113" w:rsidRDefault="008B2210" w:rsidP="00AD596A">
            <w:pPr>
              <w:spacing w:after="0"/>
              <w:ind w:left="30"/>
            </w:pPr>
            <w:r w:rsidRPr="00950113">
              <w:t>Budgets pour les projets d’immobilisations</w:t>
            </w:r>
          </w:p>
          <w:p w:rsidR="008B2210" w:rsidRPr="00950113" w:rsidRDefault="008B2210" w:rsidP="00AD596A">
            <w:pPr>
              <w:spacing w:after="0"/>
              <w:ind w:left="30"/>
            </w:pPr>
            <w:r w:rsidRPr="00950113">
              <w:t>Dispositions des contrats et des soumissions</w:t>
            </w:r>
          </w:p>
        </w:tc>
        <w:tc>
          <w:tcPr>
            <w:tcW w:w="2610" w:type="dxa"/>
          </w:tcPr>
          <w:p w:rsidR="008B2210" w:rsidRPr="00950113" w:rsidRDefault="008B2210" w:rsidP="00AD596A">
            <w:pPr>
              <w:spacing w:after="0"/>
              <w:ind w:left="0"/>
            </w:pPr>
            <w:r>
              <w:t>8 ans après réalisation du </w:t>
            </w:r>
            <w:r w:rsidRPr="00950113">
              <w:t>projet ou fin de l’utilisation des actifs</w:t>
            </w:r>
          </w:p>
        </w:tc>
      </w:tr>
      <w:tr w:rsidR="008B2210" w:rsidRPr="00950113" w:rsidTr="00AD596A">
        <w:tc>
          <w:tcPr>
            <w:tcW w:w="7128" w:type="dxa"/>
          </w:tcPr>
          <w:p w:rsidR="008B2210" w:rsidRPr="00950113" w:rsidRDefault="008B2210" w:rsidP="00AD596A">
            <w:pPr>
              <w:spacing w:after="0"/>
              <w:ind w:left="30"/>
            </w:pPr>
            <w:r w:rsidRPr="00950113">
              <w:t>Documents sur les impôts fonciers dont ceux qui suivent :</w:t>
            </w:r>
          </w:p>
          <w:p w:rsidR="008B2210" w:rsidRPr="00950113" w:rsidRDefault="008B2210" w:rsidP="00AD596A">
            <w:pPr>
              <w:spacing w:after="0"/>
              <w:ind w:left="30"/>
            </w:pPr>
            <w:r w:rsidRPr="00950113">
              <w:t>Documents de travail sur les impôts fonciers</w:t>
            </w:r>
          </w:p>
          <w:p w:rsidR="008B2210" w:rsidRPr="00950113" w:rsidRDefault="008B2210" w:rsidP="00AD596A">
            <w:pPr>
              <w:spacing w:after="0"/>
              <w:ind w:left="30"/>
            </w:pPr>
            <w:r w:rsidRPr="00950113">
              <w:t>Rôles d’imposition</w:t>
            </w:r>
          </w:p>
          <w:p w:rsidR="008B2210" w:rsidRPr="00950113" w:rsidRDefault="008B2210" w:rsidP="00AD596A">
            <w:pPr>
              <w:spacing w:after="0"/>
              <w:ind w:left="30"/>
            </w:pPr>
            <w:r w:rsidRPr="00950113">
              <w:t xml:space="preserve">Déclarations </w:t>
            </w:r>
          </w:p>
        </w:tc>
        <w:tc>
          <w:tcPr>
            <w:tcW w:w="2610" w:type="dxa"/>
          </w:tcPr>
          <w:p w:rsidR="008B2210" w:rsidRPr="00950113" w:rsidRDefault="008B2210" w:rsidP="00AD596A">
            <w:pPr>
              <w:spacing w:after="0"/>
              <w:ind w:left="0"/>
            </w:pPr>
            <w:r w:rsidRPr="00950113">
              <w:t>8 ans</w:t>
            </w:r>
          </w:p>
        </w:tc>
      </w:tr>
      <w:tr w:rsidR="008B2210" w:rsidRPr="00950113" w:rsidTr="00AD596A">
        <w:tc>
          <w:tcPr>
            <w:tcW w:w="9738" w:type="dxa"/>
            <w:gridSpan w:val="2"/>
            <w:shd w:val="clear" w:color="auto" w:fill="DDDDDD"/>
          </w:tcPr>
          <w:p w:rsidR="008B2210" w:rsidRPr="00950113" w:rsidRDefault="008B2210" w:rsidP="00AD596A">
            <w:pPr>
              <w:spacing w:after="0"/>
              <w:ind w:left="0"/>
            </w:pPr>
            <w:r w:rsidRPr="00950113">
              <w:t>Dossiers opérationnels</w:t>
            </w:r>
          </w:p>
        </w:tc>
      </w:tr>
      <w:tr w:rsidR="008B2210" w:rsidRPr="00950113" w:rsidTr="00AD596A">
        <w:tc>
          <w:tcPr>
            <w:tcW w:w="7128" w:type="dxa"/>
          </w:tcPr>
          <w:p w:rsidR="008B2210" w:rsidRPr="00950113" w:rsidRDefault="008B2210" w:rsidP="00AD596A">
            <w:pPr>
              <w:spacing w:after="0"/>
              <w:ind w:left="30"/>
            </w:pPr>
            <w:r w:rsidRPr="00950113">
              <w:t>Manuels d’exploitation, politiques et procédures</w:t>
            </w: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Originaux de lettres patentes, marques de commerce et droits d’auteur</w:t>
            </w:r>
          </w:p>
        </w:tc>
        <w:tc>
          <w:tcPr>
            <w:tcW w:w="2610" w:type="dxa"/>
          </w:tcPr>
          <w:p w:rsidR="008B2210" w:rsidRPr="00950113" w:rsidRDefault="008B2210" w:rsidP="00AD596A">
            <w:pPr>
              <w:spacing w:after="0"/>
              <w:ind w:left="0"/>
            </w:pPr>
            <w:r w:rsidRPr="00950113">
              <w:t>7 ans après l’échéance du droit accordé</w:t>
            </w:r>
          </w:p>
        </w:tc>
      </w:tr>
      <w:tr w:rsidR="008B2210" w:rsidRPr="00950113" w:rsidTr="00AD596A">
        <w:tc>
          <w:tcPr>
            <w:tcW w:w="7128" w:type="dxa"/>
          </w:tcPr>
          <w:p w:rsidR="008B2210" w:rsidRPr="00950113" w:rsidRDefault="008B2210" w:rsidP="00AD596A">
            <w:pPr>
              <w:spacing w:after="0"/>
              <w:ind w:left="30"/>
            </w:pPr>
            <w:r w:rsidRPr="00950113">
              <w:t>Documents de douanes</w:t>
            </w:r>
          </w:p>
        </w:tc>
        <w:tc>
          <w:tcPr>
            <w:tcW w:w="2610" w:type="dxa"/>
          </w:tcPr>
          <w:p w:rsidR="008B2210" w:rsidRPr="00950113" w:rsidRDefault="008B2210" w:rsidP="00AD596A">
            <w:pPr>
              <w:spacing w:after="0"/>
              <w:ind w:left="0"/>
            </w:pPr>
            <w:r w:rsidRPr="00950113">
              <w:t>7 ans</w:t>
            </w:r>
          </w:p>
        </w:tc>
      </w:tr>
      <w:tr w:rsidR="008B2210" w:rsidRPr="00950113" w:rsidTr="00AD596A">
        <w:tc>
          <w:tcPr>
            <w:tcW w:w="7128" w:type="dxa"/>
          </w:tcPr>
          <w:p w:rsidR="008B2210" w:rsidRPr="00950113" w:rsidRDefault="008B2210" w:rsidP="00AD596A">
            <w:pPr>
              <w:spacing w:after="0"/>
              <w:ind w:left="30"/>
            </w:pPr>
            <w:r w:rsidRPr="00950113">
              <w:t>Inventaires physiques annuels</w:t>
            </w:r>
          </w:p>
        </w:tc>
        <w:tc>
          <w:tcPr>
            <w:tcW w:w="2610" w:type="dxa"/>
          </w:tcPr>
          <w:p w:rsidR="008B2210" w:rsidRPr="00950113" w:rsidRDefault="008B2210" w:rsidP="00AD596A">
            <w:pPr>
              <w:spacing w:after="0"/>
              <w:ind w:left="0"/>
            </w:pPr>
            <w:r w:rsidRPr="00950113">
              <w:t>Permanent</w:t>
            </w:r>
          </w:p>
        </w:tc>
      </w:tr>
      <w:tr w:rsidR="008B2210" w:rsidRPr="00950113" w:rsidTr="00AD596A">
        <w:tc>
          <w:tcPr>
            <w:tcW w:w="7128" w:type="dxa"/>
          </w:tcPr>
          <w:p w:rsidR="008B2210" w:rsidRPr="00950113" w:rsidRDefault="008B2210" w:rsidP="00AD596A">
            <w:pPr>
              <w:spacing w:after="0"/>
              <w:ind w:left="30"/>
            </w:pPr>
            <w:r w:rsidRPr="00950113">
              <w:t>Procès-verbaux du comité sur la sécurité, rapports d’inspection et rapports connexes des mesures à prendre</w:t>
            </w:r>
          </w:p>
        </w:tc>
        <w:tc>
          <w:tcPr>
            <w:tcW w:w="2610" w:type="dxa"/>
          </w:tcPr>
          <w:p w:rsidR="008B2210" w:rsidRPr="00950113" w:rsidRDefault="008B2210" w:rsidP="00AD596A">
            <w:pPr>
              <w:spacing w:after="0"/>
              <w:ind w:left="0"/>
            </w:pPr>
            <w:r w:rsidRPr="00950113">
              <w:t>10 ans</w:t>
            </w:r>
          </w:p>
        </w:tc>
      </w:tr>
    </w:tbl>
    <w:p w:rsidR="00240355" w:rsidRPr="008B2210" w:rsidRDefault="008B2210" w:rsidP="008B2210">
      <w:pPr>
        <w:rPr>
          <w:bCs/>
        </w:rPr>
      </w:pPr>
      <w:r w:rsidRPr="00950113">
        <w:rPr>
          <w:sz w:val="24"/>
        </w:rPr>
        <w:t xml:space="preserve"> </w:t>
      </w:r>
      <w:bookmarkStart w:id="0" w:name="_GoBack"/>
      <w:bookmarkEnd w:id="0"/>
    </w:p>
    <w:sectPr w:rsidR="00240355" w:rsidRPr="008B2210" w:rsidSect="00693001">
      <w:headerReference w:type="even" r:id="rId4"/>
      <w:headerReference w:type="default" r:id="rId5"/>
      <w:footerReference w:type="default" r:id="rId6"/>
      <w:headerReference w:type="first" r:id="rId7"/>
      <w:pgSz w:w="12240" w:h="15840"/>
      <w:pgMar w:top="1418"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8975"/>
      <w:gridCol w:w="997"/>
    </w:tblGrid>
    <w:tr w:rsidR="0053498D" w:rsidRPr="00E12592" w:rsidTr="003F24DB">
      <w:tc>
        <w:tcPr>
          <w:tcW w:w="4500" w:type="pct"/>
          <w:tcBorders>
            <w:top w:val="single" w:sz="4" w:space="0" w:color="000000"/>
          </w:tcBorders>
        </w:tcPr>
        <w:p w:rsidR="0053498D" w:rsidRPr="00F85FD8" w:rsidRDefault="008B2210" w:rsidP="002107F8">
          <w:pPr>
            <w:pStyle w:val="Footer"/>
            <w:jc w:val="right"/>
            <w:rPr>
              <w:sz w:val="22"/>
              <w:szCs w:val="22"/>
            </w:rPr>
          </w:pPr>
          <w:r>
            <w:rPr>
              <w:sz w:val="22"/>
              <w:szCs w:val="22"/>
            </w:rPr>
            <w:t>Première Nation [Exemple] | Politique en matière de gestion de l’information</w:t>
          </w:r>
        </w:p>
      </w:tc>
      <w:tc>
        <w:tcPr>
          <w:tcW w:w="500" w:type="pct"/>
          <w:tcBorders>
            <w:top w:val="single" w:sz="4" w:space="0" w:color="C0504D"/>
          </w:tcBorders>
          <w:shd w:val="clear" w:color="auto" w:fill="808080"/>
        </w:tcPr>
        <w:p w:rsidR="0053498D" w:rsidRPr="00F85FD8" w:rsidRDefault="008B2210" w:rsidP="00C4111B">
          <w:pPr>
            <w:pStyle w:val="Header"/>
            <w:ind w:left="137"/>
            <w:rPr>
              <w:color w:val="FFFFFF"/>
              <w:sz w:val="22"/>
              <w:szCs w:val="22"/>
            </w:rPr>
          </w:pPr>
          <w:r w:rsidRPr="00F85FD8">
            <w:rPr>
              <w:sz w:val="22"/>
              <w:szCs w:val="22"/>
            </w:rPr>
            <w:fldChar w:fldCharType="begin"/>
          </w:r>
          <w:r w:rsidRPr="00F85FD8">
            <w:rPr>
              <w:sz w:val="22"/>
              <w:szCs w:val="22"/>
            </w:rPr>
            <w:instrText xml:space="preserve"> PAGE   \* MERGEFORMAT </w:instrText>
          </w:r>
          <w:r w:rsidRPr="00F85FD8">
            <w:rPr>
              <w:sz w:val="22"/>
              <w:szCs w:val="22"/>
            </w:rPr>
            <w:fldChar w:fldCharType="separate"/>
          </w:r>
          <w:r w:rsidRPr="008B2210">
            <w:rPr>
              <w:noProof/>
              <w:color w:val="FFFFFF"/>
              <w:sz w:val="22"/>
              <w:szCs w:val="22"/>
            </w:rPr>
            <w:t>3</w:t>
          </w:r>
          <w:r w:rsidRPr="00F85FD8">
            <w:rPr>
              <w:color w:val="FFFFFF"/>
              <w:sz w:val="22"/>
              <w:szCs w:val="22"/>
            </w:rPr>
            <w:fldChar w:fldCharType="end"/>
          </w:r>
        </w:p>
      </w:tc>
    </w:tr>
  </w:tbl>
  <w:p w:rsidR="0053498D" w:rsidRPr="006D36C3" w:rsidRDefault="008B2210">
    <w:pPr>
      <w:pStyle w:val="Footer"/>
      <w:rPr>
        <w:b/>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8D" w:rsidRDefault="008B221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5176" o:spid="_x0000_s2050" type="#_x0000_t136" style="position:absolute;left:0;text-align:left;margin-left:0;margin-top:0;width:507.6pt;height:152.25pt;rotation:315;z-index:-251656192;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8D" w:rsidRDefault="008B221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5177" o:spid="_x0000_s2051" type="#_x0000_t136" style="position:absolute;left:0;text-align:left;margin-left:0;margin-top:0;width:507.6pt;height:152.25pt;rotation:315;z-index:-251655168;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8D" w:rsidRDefault="008B221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55175"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silver" stroked="f">
          <v:textpath style="font-family:&quot;Calibri&quot;;font-size:1pt" string="Modèle de politiqu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2"/>
    <o:shapelayout v:ext="edit">
      <o:idmap v:ext="edit" data="2"/>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10"/>
    <w:rsid w:val="00240355"/>
    <w:rsid w:val="006C67A6"/>
    <w:rsid w:val="008B2210"/>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909348-0A06-4FED-879E-6D444D46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10"/>
    <w:pPr>
      <w:spacing w:after="20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8B2210"/>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2210"/>
    <w:rPr>
      <w:rFonts w:asciiTheme="minorHAnsi" w:eastAsiaTheme="majorEastAsia" w:hAnsiTheme="minorHAnsi" w:cstheme="majorBidi"/>
      <w:b/>
      <w:iCs/>
      <w:color w:val="2E74B5" w:themeColor="accent1" w:themeShade="BF"/>
      <w:sz w:val="28"/>
      <w:lang w:val="fr-CA" w:eastAsia="ja-JP"/>
    </w:rPr>
  </w:style>
  <w:style w:type="paragraph" w:styleId="Header">
    <w:name w:val="header"/>
    <w:basedOn w:val="Normal"/>
    <w:link w:val="HeaderChar"/>
    <w:uiPriority w:val="99"/>
    <w:rsid w:val="008B221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B2210"/>
    <w:rPr>
      <w:rFonts w:ascii="Calibri" w:eastAsia="MS Mincho" w:hAnsi="Calibri" w:cs="Times New Roman"/>
      <w:sz w:val="20"/>
      <w:szCs w:val="20"/>
      <w:lang w:val="fr-CA" w:eastAsia="ja-JP"/>
    </w:rPr>
  </w:style>
  <w:style w:type="paragraph" w:styleId="Footer">
    <w:name w:val="footer"/>
    <w:basedOn w:val="Normal"/>
    <w:link w:val="FooterChar"/>
    <w:uiPriority w:val="99"/>
    <w:rsid w:val="008B221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8B2210"/>
    <w:rPr>
      <w:rFonts w:ascii="Calibri" w:eastAsia="MS Mincho" w:hAnsi="Calibri" w:cs="Times New Roman"/>
      <w:sz w:val="20"/>
      <w:szCs w:val="20"/>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Company>Org</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2018-02-27T17:57:00Z</dcterms:created>
  <dcterms:modified xsi:type="dcterms:W3CDTF">2018-02-27T17:58:00Z</dcterms:modified>
</cp:coreProperties>
</file>