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27F" w:rsidRPr="00B60386" w:rsidRDefault="00B8327F" w:rsidP="00B8327F">
      <w:pPr>
        <w:pStyle w:val="Heading4"/>
        <w:ind w:left="0"/>
      </w:pPr>
      <w:r w:rsidRPr="00B60386">
        <w:t>Catégories d’immobilisations corporelles</w:t>
      </w:r>
    </w:p>
    <w:p w:rsidR="00B8327F" w:rsidRPr="00B60386" w:rsidRDefault="00B8327F" w:rsidP="00B8327F"/>
    <w:p w:rsidR="00B8327F" w:rsidRPr="00B60386" w:rsidRDefault="00B8327F" w:rsidP="00B8327F">
      <w:pPr>
        <w:ind w:left="0"/>
      </w:pPr>
      <w:r w:rsidRPr="00B60386">
        <w:t xml:space="preserve">Le tableau qui suit énumère les catégories d’immobilisations corporelles en plus de donner des exemples d’actifs et de coûts pour chacune. Cette liste n’est pas exhaustive et n’est présentée ici qu’à titre indicatif. Il appartient à la Première Nation de décider de capitaliser les coûts en tant qu’actifs immobilisés en se fondant sur les exigences relatives à la comptabilité des NCSP, plus précisément celles du chapitre SP 3150 </w:t>
      </w:r>
      <w:r w:rsidRPr="00B60386">
        <w:rPr>
          <w:i/>
        </w:rPr>
        <w:t>Immobilisations corporelles</w:t>
      </w:r>
      <w:r w:rsidRPr="00B60386">
        <w:t>.</w:t>
      </w:r>
    </w:p>
    <w:p w:rsidR="00B8327F" w:rsidRPr="00B60386" w:rsidRDefault="00B8327F" w:rsidP="00B8327F"/>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7138"/>
      </w:tblGrid>
      <w:tr w:rsidR="00B8327F" w:rsidRPr="00B60386" w:rsidTr="00AD596A">
        <w:trPr>
          <w:cantSplit/>
        </w:trPr>
        <w:tc>
          <w:tcPr>
            <w:tcW w:w="1800" w:type="dxa"/>
          </w:tcPr>
          <w:p w:rsidR="00B8327F" w:rsidRPr="00B60386" w:rsidRDefault="00B8327F" w:rsidP="00AD596A">
            <w:pPr>
              <w:ind w:left="100"/>
              <w:rPr>
                <w:b/>
              </w:rPr>
            </w:pPr>
            <w:r w:rsidRPr="00B60386">
              <w:rPr>
                <w:b/>
              </w:rPr>
              <w:t>Catégorie d’immobilisations</w:t>
            </w:r>
          </w:p>
        </w:tc>
        <w:tc>
          <w:tcPr>
            <w:tcW w:w="7290" w:type="dxa"/>
          </w:tcPr>
          <w:p w:rsidR="00B8327F" w:rsidRPr="00B60386" w:rsidRDefault="00B8327F" w:rsidP="00AD596A">
            <w:pPr>
              <w:ind w:left="143"/>
              <w:rPr>
                <w:b/>
              </w:rPr>
            </w:pPr>
            <w:r w:rsidRPr="00B60386">
              <w:rPr>
                <w:b/>
              </w:rPr>
              <w:t>Exemple d’immobilisations</w:t>
            </w:r>
          </w:p>
        </w:tc>
      </w:tr>
      <w:tr w:rsidR="00B8327F" w:rsidRPr="00B60386" w:rsidTr="00AD596A">
        <w:trPr>
          <w:cantSplit/>
        </w:trPr>
        <w:tc>
          <w:tcPr>
            <w:tcW w:w="1800" w:type="dxa"/>
          </w:tcPr>
          <w:p w:rsidR="00B8327F" w:rsidRPr="00B60386" w:rsidRDefault="00B8327F" w:rsidP="00AD596A">
            <w:pPr>
              <w:ind w:left="100"/>
            </w:pPr>
            <w:r w:rsidRPr="00B60386">
              <w:t>Terrains</w:t>
            </w:r>
          </w:p>
        </w:tc>
        <w:tc>
          <w:tcPr>
            <w:tcW w:w="7290" w:type="dxa"/>
          </w:tcPr>
          <w:p w:rsidR="00B8327F" w:rsidRPr="00B60386" w:rsidRDefault="00B8327F" w:rsidP="00B8327F">
            <w:pPr>
              <w:pStyle w:val="ListParagraph"/>
              <w:numPr>
                <w:ilvl w:val="0"/>
                <w:numId w:val="1"/>
              </w:numPr>
              <w:ind w:left="426"/>
            </w:pPr>
            <w:r w:rsidRPr="00B60386">
              <w:t>Terrains acquis pour la création de parcs, à des fins récréatives ou de conservation, la construction d’immeubles ou à d’autres usages</w:t>
            </w:r>
          </w:p>
          <w:p w:rsidR="00B8327F" w:rsidRPr="00B60386" w:rsidRDefault="00B8327F" w:rsidP="00B8327F">
            <w:pPr>
              <w:pStyle w:val="ListParagraph"/>
              <w:numPr>
                <w:ilvl w:val="0"/>
                <w:numId w:val="1"/>
              </w:numPr>
              <w:ind w:left="426"/>
            </w:pPr>
            <w:r w:rsidRPr="00B60386">
              <w:t xml:space="preserve">Terrains achetés pour la construction de routes, afin de servir de zone de drainage ou en vue d’agrandissements futurs </w:t>
            </w:r>
          </w:p>
        </w:tc>
      </w:tr>
      <w:tr w:rsidR="00B8327F" w:rsidRPr="00B60386" w:rsidTr="00AD596A">
        <w:trPr>
          <w:cantSplit/>
        </w:trPr>
        <w:tc>
          <w:tcPr>
            <w:tcW w:w="1800" w:type="dxa"/>
          </w:tcPr>
          <w:p w:rsidR="00B8327F" w:rsidRPr="00B60386" w:rsidRDefault="00B8327F" w:rsidP="00AD596A">
            <w:pPr>
              <w:ind w:left="100"/>
            </w:pPr>
            <w:r w:rsidRPr="00B60386">
              <w:t>Améliorations foncières</w:t>
            </w:r>
          </w:p>
        </w:tc>
        <w:tc>
          <w:tcPr>
            <w:tcW w:w="7290" w:type="dxa"/>
          </w:tcPr>
          <w:p w:rsidR="00B8327F" w:rsidRPr="00B60386" w:rsidRDefault="00B8327F" w:rsidP="00B8327F">
            <w:pPr>
              <w:pStyle w:val="ListParagraph"/>
              <w:numPr>
                <w:ilvl w:val="0"/>
                <w:numId w:val="1"/>
              </w:numPr>
              <w:ind w:left="426"/>
            </w:pPr>
            <w:r w:rsidRPr="00B60386">
              <w:t>Clôtures et barrières, terrains de stationnement, sentiers, aménagement paysager, piscines et terrains de jeu</w:t>
            </w:r>
          </w:p>
          <w:p w:rsidR="00B8327F" w:rsidRPr="00B60386" w:rsidRDefault="00B8327F" w:rsidP="00B8327F">
            <w:pPr>
              <w:pStyle w:val="ListParagraph"/>
              <w:numPr>
                <w:ilvl w:val="0"/>
                <w:numId w:val="1"/>
              </w:numPr>
              <w:ind w:left="426"/>
            </w:pPr>
            <w:r w:rsidRPr="00B60386">
              <w:t>Préparation des lieux en vue de travaux d’aménagement commercial ou résidentiel</w:t>
            </w:r>
          </w:p>
        </w:tc>
      </w:tr>
      <w:tr w:rsidR="00B8327F" w:rsidRPr="00B60386" w:rsidTr="00AD596A">
        <w:trPr>
          <w:cantSplit/>
        </w:trPr>
        <w:tc>
          <w:tcPr>
            <w:tcW w:w="1800" w:type="dxa"/>
          </w:tcPr>
          <w:p w:rsidR="00B8327F" w:rsidRPr="00B60386" w:rsidRDefault="00B8327F" w:rsidP="00AD596A">
            <w:pPr>
              <w:ind w:left="100"/>
            </w:pPr>
            <w:r w:rsidRPr="00B60386">
              <w:t>Immeubles</w:t>
            </w:r>
          </w:p>
        </w:tc>
        <w:tc>
          <w:tcPr>
            <w:tcW w:w="7290" w:type="dxa"/>
          </w:tcPr>
          <w:p w:rsidR="00B8327F" w:rsidRPr="00B60386" w:rsidRDefault="00B8327F" w:rsidP="00B8327F">
            <w:pPr>
              <w:pStyle w:val="ListParagraph"/>
              <w:numPr>
                <w:ilvl w:val="0"/>
                <w:numId w:val="1"/>
              </w:numPr>
              <w:ind w:left="426"/>
            </w:pPr>
            <w:r w:rsidRPr="00B60386">
              <w:t>Immeubles à charpente métallique à l’épreuve du feu avec planchers et toits en béton armé ou maçonnerie</w:t>
            </w:r>
          </w:p>
          <w:p w:rsidR="00B8327F" w:rsidRPr="00B60386" w:rsidRDefault="00B8327F" w:rsidP="00B8327F">
            <w:pPr>
              <w:pStyle w:val="ListParagraph"/>
              <w:numPr>
                <w:ilvl w:val="0"/>
                <w:numId w:val="1"/>
              </w:numPr>
              <w:ind w:left="426"/>
            </w:pPr>
            <w:r w:rsidRPr="00B60386">
              <w:t>Immeubles à charpente en béton armé avec planchers et toits en béton ou maçonnerie</w:t>
            </w:r>
          </w:p>
          <w:p w:rsidR="00B8327F" w:rsidRPr="00B60386" w:rsidRDefault="00B8327F" w:rsidP="00B8327F">
            <w:pPr>
              <w:pStyle w:val="ListParagraph"/>
              <w:numPr>
                <w:ilvl w:val="0"/>
                <w:numId w:val="1"/>
              </w:numPr>
              <w:ind w:left="426"/>
            </w:pPr>
            <w:r w:rsidRPr="00B60386">
              <w:t>Immeubles dont les murs extérieurs sont en béton ou en maçonnerie, avec structures de plancher et de toit en bois ou en acier, sauf pour les plaques de béton au niveau du sol</w:t>
            </w:r>
          </w:p>
          <w:p w:rsidR="00B8327F" w:rsidRPr="00B60386" w:rsidRDefault="00B8327F" w:rsidP="00B8327F">
            <w:pPr>
              <w:pStyle w:val="ListParagraph"/>
              <w:numPr>
                <w:ilvl w:val="0"/>
                <w:numId w:val="1"/>
              </w:numPr>
              <w:ind w:left="426"/>
            </w:pPr>
            <w:r w:rsidRPr="00B60386">
              <w:t>Entrepôts servant aux activités courantes ou à conserver des stocks, abris à sel ou autres, petits bâtiments, réservoirs de bitume et stations de pompage</w:t>
            </w:r>
          </w:p>
        </w:tc>
      </w:tr>
      <w:tr w:rsidR="00B8327F" w:rsidRPr="00B60386" w:rsidTr="00AD596A">
        <w:trPr>
          <w:cantSplit/>
        </w:trPr>
        <w:tc>
          <w:tcPr>
            <w:tcW w:w="1800" w:type="dxa"/>
          </w:tcPr>
          <w:p w:rsidR="00B8327F" w:rsidRPr="00B60386" w:rsidRDefault="00B8327F" w:rsidP="00AD596A">
            <w:pPr>
              <w:ind w:left="100"/>
            </w:pPr>
            <w:r w:rsidRPr="00B60386">
              <w:t>Améliorations à des immeubles</w:t>
            </w:r>
          </w:p>
        </w:tc>
        <w:tc>
          <w:tcPr>
            <w:tcW w:w="7290" w:type="dxa"/>
          </w:tcPr>
          <w:p w:rsidR="00B8327F" w:rsidRPr="00B60386" w:rsidRDefault="00B8327F" w:rsidP="00B8327F">
            <w:pPr>
              <w:pStyle w:val="ListParagraph"/>
              <w:numPr>
                <w:ilvl w:val="0"/>
                <w:numId w:val="1"/>
              </w:numPr>
              <w:ind w:left="426"/>
            </w:pPr>
            <w:r w:rsidRPr="00B60386">
              <w:t>Réparations ou mises à niveau importantes, qui ajoutent à la valeur de l’immeuble ou à sa durée de vie utile et qui peuvent aussi en réduire les frais d’exploitation futurs, qu’il s’agisse par exemple de changements structuraux, de l’installation ou du perfectionnement des systèmes de chauffage et de climatisation, de plomberie, d’électricité ou téléphoniques</w:t>
            </w:r>
          </w:p>
        </w:tc>
      </w:tr>
      <w:tr w:rsidR="00B8327F" w:rsidRPr="00B60386" w:rsidTr="00AD596A">
        <w:trPr>
          <w:cantSplit/>
        </w:trPr>
        <w:tc>
          <w:tcPr>
            <w:tcW w:w="1800" w:type="dxa"/>
          </w:tcPr>
          <w:p w:rsidR="00B8327F" w:rsidRPr="00B60386" w:rsidRDefault="00B8327F" w:rsidP="00AD596A">
            <w:pPr>
              <w:ind w:left="100"/>
            </w:pPr>
            <w:r w:rsidRPr="00B60386">
              <w:lastRenderedPageBreak/>
              <w:t>Améliorations locatives</w:t>
            </w:r>
          </w:p>
        </w:tc>
        <w:tc>
          <w:tcPr>
            <w:tcW w:w="7290" w:type="dxa"/>
          </w:tcPr>
          <w:p w:rsidR="00B8327F" w:rsidRPr="00B60386" w:rsidRDefault="00B8327F" w:rsidP="00B8327F">
            <w:pPr>
              <w:pStyle w:val="ListParagraph"/>
              <w:numPr>
                <w:ilvl w:val="0"/>
                <w:numId w:val="1"/>
              </w:numPr>
              <w:ind w:left="426"/>
            </w:pPr>
            <w:r w:rsidRPr="00B60386">
              <w:t>Améliorations qui rendent plus fonctionnels des locaux ou autres emplacements loués (voir les actifs énumérés dans la catégorie des « améliorations à des immeubles »)</w:t>
            </w:r>
          </w:p>
        </w:tc>
      </w:tr>
      <w:tr w:rsidR="00B8327F" w:rsidRPr="00B60386" w:rsidTr="00AD596A">
        <w:trPr>
          <w:cantSplit/>
        </w:trPr>
        <w:tc>
          <w:tcPr>
            <w:tcW w:w="1800" w:type="dxa"/>
          </w:tcPr>
          <w:p w:rsidR="00B8327F" w:rsidRPr="00B60386" w:rsidRDefault="00B8327F" w:rsidP="00AD596A">
            <w:pPr>
              <w:ind w:left="100"/>
            </w:pPr>
            <w:r w:rsidRPr="00B60386">
              <w:t>Équipement d’exploitation</w:t>
            </w:r>
          </w:p>
        </w:tc>
        <w:tc>
          <w:tcPr>
            <w:tcW w:w="7290" w:type="dxa"/>
          </w:tcPr>
          <w:p w:rsidR="00B8327F" w:rsidRPr="00B60386" w:rsidRDefault="00B8327F" w:rsidP="00B8327F">
            <w:pPr>
              <w:pStyle w:val="ListParagraph"/>
              <w:numPr>
                <w:ilvl w:val="0"/>
                <w:numId w:val="1"/>
              </w:numPr>
              <w:ind w:left="426"/>
            </w:pPr>
            <w:r w:rsidRPr="00B60386">
              <w:t>Équipement servant à l’entretien, à l’usinage ou au nettoyage pour des laboratoires, appareils médicaux, dentaires et autres, dispositifs de sécurité, centres de recherche, hôpitaux, écoles et postes de communications, comme des chariots élévateurs, machines à souder, remorques, systèmes de transmission et de réception, chasse-neige, congélateurs, réfrigérateurs, machines à laver, compteurs ou défibrillateurs</w:t>
            </w:r>
          </w:p>
        </w:tc>
      </w:tr>
      <w:tr w:rsidR="00B8327F" w:rsidRPr="00B60386" w:rsidTr="00AD596A">
        <w:trPr>
          <w:cantSplit/>
        </w:trPr>
        <w:tc>
          <w:tcPr>
            <w:tcW w:w="1800" w:type="dxa"/>
          </w:tcPr>
          <w:p w:rsidR="00B8327F" w:rsidRPr="00B60386" w:rsidRDefault="00B8327F" w:rsidP="00AD596A">
            <w:pPr>
              <w:ind w:left="100"/>
            </w:pPr>
            <w:r w:rsidRPr="00B60386">
              <w:t>Engins lourds</w:t>
            </w:r>
          </w:p>
        </w:tc>
        <w:tc>
          <w:tcPr>
            <w:tcW w:w="7290" w:type="dxa"/>
          </w:tcPr>
          <w:p w:rsidR="00B8327F" w:rsidRPr="00B60386" w:rsidRDefault="00B8327F" w:rsidP="00B8327F">
            <w:pPr>
              <w:pStyle w:val="ListParagraph"/>
              <w:numPr>
                <w:ilvl w:val="0"/>
                <w:numId w:val="1"/>
              </w:numPr>
              <w:ind w:left="426"/>
            </w:pPr>
            <w:r w:rsidRPr="00B60386">
              <w:t>Matériel motorisé et équipement de construction comme des niveleuses, tracteurs, grues, appareils de forage, véhicules à chenilles et camions d’au moins une tonne</w:t>
            </w:r>
          </w:p>
        </w:tc>
      </w:tr>
      <w:tr w:rsidR="00B8327F" w:rsidRPr="00B60386" w:rsidTr="00AD596A">
        <w:trPr>
          <w:cantSplit/>
        </w:trPr>
        <w:tc>
          <w:tcPr>
            <w:tcW w:w="1800" w:type="dxa"/>
          </w:tcPr>
          <w:p w:rsidR="00B8327F" w:rsidRPr="00B60386" w:rsidRDefault="00B8327F" w:rsidP="00AD596A">
            <w:pPr>
              <w:ind w:left="100"/>
            </w:pPr>
            <w:r w:rsidRPr="00B60386">
              <w:t>Véhicules</w:t>
            </w:r>
          </w:p>
        </w:tc>
        <w:tc>
          <w:tcPr>
            <w:tcW w:w="7290" w:type="dxa"/>
          </w:tcPr>
          <w:p w:rsidR="00B8327F" w:rsidRPr="00B60386" w:rsidRDefault="00B8327F" w:rsidP="00B8327F">
            <w:pPr>
              <w:pStyle w:val="ListParagraph"/>
              <w:numPr>
                <w:ilvl w:val="0"/>
                <w:numId w:val="1"/>
              </w:numPr>
              <w:ind w:left="426"/>
            </w:pPr>
            <w:r w:rsidRPr="00B60386">
              <w:t>Véhicules servant surtout au transport comme des automobiles, camions de moins d’une tonne, fourgonnettes, embarcations, tout</w:t>
            </w:r>
            <w:r w:rsidRPr="00B60386">
              <w:noBreakHyphen/>
              <w:t>terrains, motoneiges, motocyclettes et ambulances</w:t>
            </w:r>
          </w:p>
        </w:tc>
      </w:tr>
      <w:tr w:rsidR="00B8327F" w:rsidRPr="00B60386" w:rsidTr="00AD596A">
        <w:trPr>
          <w:cantSplit/>
        </w:trPr>
        <w:tc>
          <w:tcPr>
            <w:tcW w:w="1800" w:type="dxa"/>
          </w:tcPr>
          <w:p w:rsidR="00B8327F" w:rsidRPr="00B60386" w:rsidRDefault="00B8327F" w:rsidP="00AD596A">
            <w:pPr>
              <w:ind w:left="100"/>
            </w:pPr>
            <w:r w:rsidRPr="00B60386">
              <w:t>Navires et tours</w:t>
            </w:r>
          </w:p>
        </w:tc>
        <w:tc>
          <w:tcPr>
            <w:tcW w:w="7290" w:type="dxa"/>
          </w:tcPr>
          <w:p w:rsidR="00B8327F" w:rsidRPr="00B60386" w:rsidRDefault="00B8327F" w:rsidP="00B8327F">
            <w:pPr>
              <w:pStyle w:val="ListParagraph"/>
              <w:numPr>
                <w:ilvl w:val="0"/>
                <w:numId w:val="1"/>
              </w:numPr>
              <w:ind w:left="426"/>
            </w:pPr>
            <w:r w:rsidRPr="00B60386">
              <w:t>Construction et remplacement de navires ou tours</w:t>
            </w:r>
          </w:p>
        </w:tc>
      </w:tr>
      <w:tr w:rsidR="00B8327F" w:rsidRPr="00B60386" w:rsidTr="00AD596A">
        <w:trPr>
          <w:cantSplit/>
        </w:trPr>
        <w:tc>
          <w:tcPr>
            <w:tcW w:w="1800" w:type="dxa"/>
          </w:tcPr>
          <w:p w:rsidR="00B8327F" w:rsidRPr="00B60386" w:rsidRDefault="00B8327F" w:rsidP="00AD596A">
            <w:pPr>
              <w:ind w:left="100"/>
            </w:pPr>
            <w:r w:rsidRPr="00B60386">
              <w:t>Logiciels</w:t>
            </w:r>
          </w:p>
        </w:tc>
        <w:tc>
          <w:tcPr>
            <w:tcW w:w="7290" w:type="dxa"/>
          </w:tcPr>
          <w:p w:rsidR="00B8327F" w:rsidRPr="00B60386" w:rsidRDefault="00B8327F" w:rsidP="00B8327F">
            <w:pPr>
              <w:pStyle w:val="ListParagraph"/>
              <w:numPr>
                <w:ilvl w:val="0"/>
                <w:numId w:val="1"/>
              </w:numPr>
              <w:ind w:left="426"/>
            </w:pPr>
            <w:r w:rsidRPr="00B60386">
              <w:t>Logiciels prêts à l’emploi et mises à jour ainsi que licences après élimination des frais d’entretien ou autres de même nature</w:t>
            </w:r>
          </w:p>
        </w:tc>
      </w:tr>
      <w:tr w:rsidR="00B8327F" w:rsidRPr="00B60386" w:rsidTr="00AD596A">
        <w:trPr>
          <w:cantSplit/>
        </w:trPr>
        <w:tc>
          <w:tcPr>
            <w:tcW w:w="1800" w:type="dxa"/>
          </w:tcPr>
          <w:p w:rsidR="00B8327F" w:rsidRPr="00B60386" w:rsidRDefault="00B8327F" w:rsidP="00AD596A">
            <w:pPr>
              <w:ind w:left="100"/>
            </w:pPr>
            <w:r w:rsidRPr="00B60386">
              <w:t>Matériel informatique</w:t>
            </w:r>
          </w:p>
        </w:tc>
        <w:tc>
          <w:tcPr>
            <w:tcW w:w="7290" w:type="dxa"/>
          </w:tcPr>
          <w:p w:rsidR="00B8327F" w:rsidRPr="00B60386" w:rsidRDefault="00B8327F" w:rsidP="00B8327F">
            <w:pPr>
              <w:pStyle w:val="ListParagraph"/>
              <w:numPr>
                <w:ilvl w:val="0"/>
                <w:numId w:val="1"/>
              </w:numPr>
              <w:ind w:left="426"/>
            </w:pPr>
            <w:r w:rsidRPr="00B60386">
              <w:t>Serveurs, enregistreurs de communications vocales, lecteurs optiques, imprimantes, disques durs externes ou non et traceurs</w:t>
            </w:r>
          </w:p>
        </w:tc>
      </w:tr>
      <w:tr w:rsidR="00B8327F" w:rsidRPr="00B60386" w:rsidTr="00AD596A">
        <w:trPr>
          <w:cantSplit/>
        </w:trPr>
        <w:tc>
          <w:tcPr>
            <w:tcW w:w="1800" w:type="dxa"/>
          </w:tcPr>
          <w:p w:rsidR="00B8327F" w:rsidRPr="00B60386" w:rsidRDefault="00B8327F" w:rsidP="00AD596A">
            <w:pPr>
              <w:ind w:left="100"/>
            </w:pPr>
            <w:r w:rsidRPr="00B60386">
              <w:t>Meubles et matériel de bureau</w:t>
            </w:r>
          </w:p>
        </w:tc>
        <w:tc>
          <w:tcPr>
            <w:tcW w:w="7290" w:type="dxa"/>
          </w:tcPr>
          <w:p w:rsidR="00B8327F" w:rsidRPr="00B60386" w:rsidRDefault="00B8327F" w:rsidP="00B8327F">
            <w:pPr>
              <w:pStyle w:val="ListParagraph"/>
              <w:numPr>
                <w:ilvl w:val="0"/>
                <w:numId w:val="1"/>
              </w:numPr>
              <w:ind w:left="426"/>
            </w:pPr>
            <w:r w:rsidRPr="00B60386">
              <w:t>Bureaux, tables, chaises, classeurs, télécopieurs, photocopieurs, postes de vidéoconférence, projecteurs et caméras numériques</w:t>
            </w:r>
          </w:p>
        </w:tc>
      </w:tr>
      <w:tr w:rsidR="00B8327F" w:rsidRPr="00B60386" w:rsidTr="00AD596A">
        <w:trPr>
          <w:cantSplit/>
        </w:trPr>
        <w:tc>
          <w:tcPr>
            <w:tcW w:w="1800" w:type="dxa"/>
          </w:tcPr>
          <w:p w:rsidR="00B8327F" w:rsidRPr="00B60386" w:rsidRDefault="00B8327F" w:rsidP="00AD596A">
            <w:pPr>
              <w:ind w:left="100"/>
            </w:pPr>
            <w:r w:rsidRPr="00B60386">
              <w:t>Actifs en cours de construction</w:t>
            </w:r>
          </w:p>
        </w:tc>
        <w:tc>
          <w:tcPr>
            <w:tcW w:w="7290" w:type="dxa"/>
          </w:tcPr>
          <w:p w:rsidR="00B8327F" w:rsidRPr="00B60386" w:rsidRDefault="00B8327F" w:rsidP="00B8327F">
            <w:pPr>
              <w:pStyle w:val="ListParagraph"/>
              <w:numPr>
                <w:ilvl w:val="0"/>
                <w:numId w:val="1"/>
              </w:numPr>
              <w:ind w:left="426"/>
            </w:pPr>
            <w:r w:rsidRPr="00B60386">
              <w:t>Routes, immeubles ou autres immobilisations corporelles en cours de construction et qui ne sont pas encore en service</w:t>
            </w:r>
          </w:p>
        </w:tc>
      </w:tr>
      <w:tr w:rsidR="00B8327F" w:rsidRPr="00B60386" w:rsidTr="00AD596A">
        <w:trPr>
          <w:cantSplit/>
        </w:trPr>
        <w:tc>
          <w:tcPr>
            <w:tcW w:w="1800" w:type="dxa"/>
          </w:tcPr>
          <w:p w:rsidR="00B8327F" w:rsidRPr="00B60386" w:rsidRDefault="00B8327F" w:rsidP="00AD596A">
            <w:pPr>
              <w:ind w:left="100"/>
            </w:pPr>
            <w:r w:rsidRPr="00B60386">
              <w:t>Chemins/Rues</w:t>
            </w:r>
          </w:p>
        </w:tc>
        <w:tc>
          <w:tcPr>
            <w:tcW w:w="7290" w:type="dxa"/>
          </w:tcPr>
          <w:p w:rsidR="00B8327F" w:rsidRPr="00B60386" w:rsidRDefault="00B8327F" w:rsidP="00B8327F">
            <w:pPr>
              <w:pStyle w:val="ListParagraph"/>
              <w:numPr>
                <w:ilvl w:val="0"/>
                <w:numId w:val="1"/>
              </w:numPr>
              <w:ind w:left="426"/>
            </w:pPr>
            <w:r w:rsidRPr="00B60386">
              <w:t>Chemins ou rues</w:t>
            </w:r>
          </w:p>
          <w:p w:rsidR="00B8327F" w:rsidRPr="00B60386" w:rsidRDefault="00B8327F" w:rsidP="00B8327F">
            <w:pPr>
              <w:pStyle w:val="ListParagraph"/>
              <w:numPr>
                <w:ilvl w:val="0"/>
                <w:numId w:val="1"/>
              </w:numPr>
              <w:ind w:left="426"/>
            </w:pPr>
            <w:r w:rsidRPr="00B60386">
              <w:t>Réseaux d’éclairage (pour voitures ou piétons), signalisation aux voies ferrées, nouveaux panneaux indicateurs et dispositifs d’apaisement de la circulation (p. ex., bandes rugueuses ou dos d’âne)</w:t>
            </w:r>
          </w:p>
        </w:tc>
      </w:tr>
      <w:tr w:rsidR="00B8327F" w:rsidRPr="00B60386" w:rsidTr="00AD596A">
        <w:trPr>
          <w:cantSplit/>
        </w:trPr>
        <w:tc>
          <w:tcPr>
            <w:tcW w:w="1800" w:type="dxa"/>
          </w:tcPr>
          <w:p w:rsidR="00B8327F" w:rsidRPr="00B60386" w:rsidRDefault="00B8327F" w:rsidP="00AD596A">
            <w:pPr>
              <w:ind w:left="100"/>
            </w:pPr>
            <w:r w:rsidRPr="00B60386">
              <w:lastRenderedPageBreak/>
              <w:t>Infrastructure pour l’eau potable et les égouts</w:t>
            </w:r>
          </w:p>
        </w:tc>
        <w:tc>
          <w:tcPr>
            <w:tcW w:w="7290" w:type="dxa"/>
          </w:tcPr>
          <w:p w:rsidR="00B8327F" w:rsidRPr="00B60386" w:rsidRDefault="00B8327F" w:rsidP="00B8327F">
            <w:pPr>
              <w:pStyle w:val="ListParagraph"/>
              <w:numPr>
                <w:ilvl w:val="0"/>
                <w:numId w:val="1"/>
              </w:numPr>
              <w:ind w:left="426"/>
            </w:pPr>
            <w:r w:rsidRPr="00B60386">
              <w:t>Barrages, installations de drainage, quais, réseaux d’égouts, étangs d’épuration, marinas, réservoirs de différents types, postes de pompage et infrastructure connexe</w:t>
            </w:r>
          </w:p>
        </w:tc>
      </w:tr>
      <w:tr w:rsidR="00B8327F" w:rsidRPr="00B60386" w:rsidTr="00AD596A">
        <w:trPr>
          <w:cantSplit/>
        </w:trPr>
        <w:tc>
          <w:tcPr>
            <w:tcW w:w="1800" w:type="dxa"/>
          </w:tcPr>
          <w:p w:rsidR="00B8327F" w:rsidRPr="00B60386" w:rsidRDefault="00B8327F" w:rsidP="00AD596A">
            <w:pPr>
              <w:ind w:left="100"/>
            </w:pPr>
            <w:r w:rsidRPr="00B60386">
              <w:t>Autres infrastructures</w:t>
            </w:r>
          </w:p>
        </w:tc>
        <w:tc>
          <w:tcPr>
            <w:tcW w:w="7290" w:type="dxa"/>
          </w:tcPr>
          <w:p w:rsidR="00B8327F" w:rsidRPr="00B60386" w:rsidRDefault="00B8327F" w:rsidP="00B8327F">
            <w:pPr>
              <w:pStyle w:val="ListParagraph"/>
              <w:numPr>
                <w:ilvl w:val="0"/>
                <w:numId w:val="1"/>
              </w:numPr>
              <w:ind w:left="426"/>
            </w:pPr>
            <w:r w:rsidRPr="00B60386">
              <w:t>Sites d’enfouissement, bases de citernes, plateforme d’hélicoptère ou stations de vidange</w:t>
            </w:r>
          </w:p>
        </w:tc>
      </w:tr>
    </w:tbl>
    <w:p w:rsidR="00240355" w:rsidRPr="009F6537" w:rsidRDefault="00240355" w:rsidP="00B8327F">
      <w:pPr>
        <w:ind w:left="0"/>
      </w:pPr>
      <w:bookmarkStart w:id="0" w:name="_GoBack"/>
      <w:bookmarkEnd w:id="0"/>
    </w:p>
    <w:sectPr w:rsidR="00240355" w:rsidRPr="009F6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 Regular">
    <w:panose1 w:val="02000603040000020004"/>
    <w:charset w:val="00"/>
    <w:family w:val="modern"/>
    <w:notTrueType/>
    <w:pitch w:val="variable"/>
    <w:sig w:usb0="800000AF" w:usb1="5000204A"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87CEB"/>
    <w:multiLevelType w:val="hybridMultilevel"/>
    <w:tmpl w:val="0E4AA2AA"/>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27F"/>
    <w:rsid w:val="00240355"/>
    <w:rsid w:val="006C67A6"/>
    <w:rsid w:val="009F6537"/>
    <w:rsid w:val="00B832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1BD22-3AEE-4B27-96B5-1ABC137D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genda Regular" w:eastAsiaTheme="minorEastAsia" w:hAnsi="Agenda Regular"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27F"/>
    <w:pPr>
      <w:spacing w:before="120" w:after="120" w:line="276" w:lineRule="auto"/>
      <w:ind w:left="567"/>
    </w:pPr>
    <w:rPr>
      <w:rFonts w:ascii="Calibri" w:eastAsia="MS Mincho" w:hAnsi="Calibri" w:cs="Times New Roman"/>
      <w:lang w:val="fr-CA" w:eastAsia="ja-JP"/>
    </w:rPr>
  </w:style>
  <w:style w:type="paragraph" w:styleId="Heading4">
    <w:name w:val="heading 4"/>
    <w:basedOn w:val="Normal"/>
    <w:next w:val="Normal"/>
    <w:link w:val="Heading4Char"/>
    <w:unhideWhenUsed/>
    <w:qFormat/>
    <w:rsid w:val="00B8327F"/>
    <w:pPr>
      <w:keepNext/>
      <w:keepLines/>
      <w:ind w:left="907"/>
      <w:outlineLvl w:val="3"/>
    </w:pPr>
    <w:rPr>
      <w:rFonts w:eastAsiaTheme="majorEastAsia" w:cstheme="majorBidi"/>
      <w:b/>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8327F"/>
    <w:rPr>
      <w:rFonts w:ascii="Calibri" w:eastAsiaTheme="majorEastAsia" w:hAnsi="Calibri" w:cstheme="majorBidi"/>
      <w:b/>
      <w:iCs/>
      <w:color w:val="2E74B5" w:themeColor="accent1" w:themeShade="BF"/>
      <w:lang w:val="fr-CA" w:eastAsia="ja-JP"/>
    </w:rPr>
  </w:style>
  <w:style w:type="paragraph" w:styleId="ListParagraph">
    <w:name w:val="List Paragraph"/>
    <w:basedOn w:val="Normal"/>
    <w:uiPriority w:val="34"/>
    <w:qFormat/>
    <w:rsid w:val="00B83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3552</Characters>
  <Application>Microsoft Office Word</Application>
  <DocSecurity>0</DocSecurity>
  <Lines>29</Lines>
  <Paragraphs>8</Paragraphs>
  <ScaleCrop>false</ScaleCrop>
  <Company>Org</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Lee</dc:creator>
  <cp:keywords/>
  <dc:description/>
  <cp:lastModifiedBy>Ingrid Lee</cp:lastModifiedBy>
  <cp:revision>1</cp:revision>
  <dcterms:created xsi:type="dcterms:W3CDTF">2018-02-27T18:04:00Z</dcterms:created>
  <dcterms:modified xsi:type="dcterms:W3CDTF">2018-02-27T18:05:00Z</dcterms:modified>
</cp:coreProperties>
</file>