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776" w:rsidRPr="005D4255" w:rsidRDefault="00026776" w:rsidP="00026776">
      <w:pPr>
        <w:pStyle w:val="Heading4"/>
        <w:ind w:left="0"/>
      </w:pPr>
      <w:r w:rsidRPr="007D7719">
        <w:t>Tangible capital asset categories</w:t>
      </w:r>
    </w:p>
    <w:p w:rsidR="00026776" w:rsidRDefault="00026776" w:rsidP="00026776"/>
    <w:p w:rsidR="00026776" w:rsidRDefault="00026776" w:rsidP="00026776">
      <w:pPr>
        <w:ind w:left="0"/>
      </w:pPr>
      <w:r w:rsidRPr="00016C1A">
        <w:t>The following table lists capital asset categories and examples of assets and costs included in each category.</w:t>
      </w:r>
      <w:r>
        <w:t xml:space="preserve"> This is not intended to be a complete list and is for illustrative purposes only. The decision by the First Nation to capitalise costs as tangible fixed assets must be made in reference to PSAS accounting requirements, specifically those contained in PS 3150, </w:t>
      </w:r>
      <w:r>
        <w:rPr>
          <w:i/>
        </w:rPr>
        <w:t>Tangible Capital Assets</w:t>
      </w:r>
      <w:r>
        <w:t>.</w:t>
      </w:r>
    </w:p>
    <w:p w:rsidR="00026776" w:rsidRDefault="00026776" w:rsidP="00026776"/>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290"/>
      </w:tblGrid>
      <w:tr w:rsidR="00026776" w:rsidRPr="00016C1A" w:rsidTr="00F44171">
        <w:trPr>
          <w:cantSplit/>
        </w:trPr>
        <w:tc>
          <w:tcPr>
            <w:tcW w:w="1800" w:type="dxa"/>
          </w:tcPr>
          <w:p w:rsidR="00026776" w:rsidRPr="00C662CA" w:rsidRDefault="00026776" w:rsidP="00F44171">
            <w:pPr>
              <w:ind w:left="100"/>
              <w:rPr>
                <w:b/>
              </w:rPr>
            </w:pPr>
            <w:r w:rsidRPr="00C662CA">
              <w:rPr>
                <w:b/>
              </w:rPr>
              <w:t>Capital Asset Category</w:t>
            </w:r>
          </w:p>
        </w:tc>
        <w:tc>
          <w:tcPr>
            <w:tcW w:w="7290" w:type="dxa"/>
          </w:tcPr>
          <w:p w:rsidR="00026776" w:rsidRPr="00C662CA" w:rsidRDefault="00026776" w:rsidP="00F44171">
            <w:pPr>
              <w:ind w:left="143"/>
              <w:rPr>
                <w:b/>
              </w:rPr>
            </w:pPr>
            <w:r w:rsidRPr="00C662CA">
              <w:rPr>
                <w:b/>
              </w:rPr>
              <w:t>Examples of Capital Assets</w:t>
            </w:r>
          </w:p>
        </w:tc>
      </w:tr>
      <w:tr w:rsidR="00026776" w:rsidRPr="00016C1A" w:rsidTr="00F44171">
        <w:trPr>
          <w:cantSplit/>
        </w:trPr>
        <w:tc>
          <w:tcPr>
            <w:tcW w:w="1800" w:type="dxa"/>
          </w:tcPr>
          <w:p w:rsidR="00026776" w:rsidRDefault="00026776" w:rsidP="00F44171">
            <w:pPr>
              <w:ind w:left="100"/>
            </w:pPr>
            <w:r w:rsidRPr="00016C1A">
              <w:t>Land</w:t>
            </w:r>
          </w:p>
        </w:tc>
        <w:tc>
          <w:tcPr>
            <w:tcW w:w="7290" w:type="dxa"/>
          </w:tcPr>
          <w:p w:rsidR="00026776" w:rsidRDefault="00026776" w:rsidP="00026776">
            <w:pPr>
              <w:pStyle w:val="ListParagraph"/>
              <w:numPr>
                <w:ilvl w:val="0"/>
                <w:numId w:val="1"/>
              </w:numPr>
              <w:ind w:left="426"/>
            </w:pPr>
            <w:r w:rsidRPr="00016C1A">
              <w:t>land acquired for parks and recreation and recreation, conservation purposes, building sites and other programs</w:t>
            </w:r>
          </w:p>
          <w:p w:rsidR="00026776" w:rsidRDefault="00026776" w:rsidP="00026776">
            <w:pPr>
              <w:pStyle w:val="ListParagraph"/>
              <w:numPr>
                <w:ilvl w:val="0"/>
                <w:numId w:val="1"/>
              </w:numPr>
              <w:ind w:left="426"/>
            </w:pPr>
            <w:r w:rsidRPr="00016C1A">
              <w:t xml:space="preserve">land purchased for construction of road surface, drainage areas and allowances or future expansions </w:t>
            </w:r>
          </w:p>
        </w:tc>
      </w:tr>
      <w:tr w:rsidR="00026776" w:rsidRPr="00016C1A" w:rsidTr="00F44171">
        <w:trPr>
          <w:cantSplit/>
        </w:trPr>
        <w:tc>
          <w:tcPr>
            <w:tcW w:w="1800" w:type="dxa"/>
          </w:tcPr>
          <w:p w:rsidR="00026776" w:rsidRDefault="00026776" w:rsidP="00F44171">
            <w:pPr>
              <w:ind w:left="100"/>
            </w:pPr>
            <w:r w:rsidRPr="00016C1A">
              <w:t>Land improvements</w:t>
            </w:r>
          </w:p>
        </w:tc>
        <w:tc>
          <w:tcPr>
            <w:tcW w:w="7290" w:type="dxa"/>
          </w:tcPr>
          <w:p w:rsidR="00026776" w:rsidRDefault="00026776" w:rsidP="00026776">
            <w:pPr>
              <w:pStyle w:val="ListParagraph"/>
              <w:numPr>
                <w:ilvl w:val="0"/>
                <w:numId w:val="1"/>
              </w:numPr>
              <w:ind w:left="426"/>
            </w:pPr>
            <w:r>
              <w:t>f</w:t>
            </w:r>
            <w:r w:rsidRPr="00016C1A">
              <w:t>encing and gates, parking lots, paths and trails, landscaping, swimming pools and playgrounds</w:t>
            </w:r>
          </w:p>
          <w:p w:rsidR="00026776" w:rsidRDefault="00026776" w:rsidP="00026776">
            <w:pPr>
              <w:pStyle w:val="ListParagraph"/>
              <w:numPr>
                <w:ilvl w:val="0"/>
                <w:numId w:val="1"/>
              </w:numPr>
              <w:ind w:left="426"/>
            </w:pPr>
            <w:r>
              <w:t>Site preparation in advance of commercial or residential development</w:t>
            </w:r>
          </w:p>
        </w:tc>
      </w:tr>
      <w:tr w:rsidR="00026776" w:rsidRPr="00016C1A" w:rsidTr="00F44171">
        <w:trPr>
          <w:cantSplit/>
        </w:trPr>
        <w:tc>
          <w:tcPr>
            <w:tcW w:w="1800" w:type="dxa"/>
          </w:tcPr>
          <w:p w:rsidR="00026776" w:rsidRPr="00016C1A" w:rsidRDefault="00026776" w:rsidP="00F44171">
            <w:pPr>
              <w:ind w:left="100"/>
            </w:pPr>
            <w:r w:rsidRPr="00016C1A">
              <w:t>Buildings</w:t>
            </w:r>
          </w:p>
        </w:tc>
        <w:tc>
          <w:tcPr>
            <w:tcW w:w="7290" w:type="dxa"/>
          </w:tcPr>
          <w:p w:rsidR="00026776" w:rsidRDefault="00026776" w:rsidP="00026776">
            <w:pPr>
              <w:pStyle w:val="ListParagraph"/>
              <w:numPr>
                <w:ilvl w:val="0"/>
                <w:numId w:val="1"/>
              </w:numPr>
              <w:ind w:left="426"/>
            </w:pPr>
            <w:r w:rsidRPr="00016C1A">
              <w:t>buildings with fireproofed structural steel frames with reinforced concrete or masonry floors and roofs</w:t>
            </w:r>
          </w:p>
          <w:p w:rsidR="00026776" w:rsidRDefault="00026776" w:rsidP="00026776">
            <w:pPr>
              <w:pStyle w:val="ListParagraph"/>
              <w:numPr>
                <w:ilvl w:val="0"/>
                <w:numId w:val="1"/>
              </w:numPr>
              <w:ind w:left="426"/>
            </w:pPr>
            <w:r w:rsidRPr="00016C1A">
              <w:t>buildings with reinforced concrete frames and concrete or masonry floors and roofs</w:t>
            </w:r>
          </w:p>
          <w:p w:rsidR="00026776" w:rsidRDefault="00026776" w:rsidP="00026776">
            <w:pPr>
              <w:pStyle w:val="ListParagraph"/>
              <w:numPr>
                <w:ilvl w:val="0"/>
                <w:numId w:val="1"/>
              </w:numPr>
              <w:ind w:left="426"/>
            </w:pPr>
            <w:r w:rsidRPr="00016C1A">
              <w:t>buildings with masonry or concrete exterior walls, and wood or steel roof and floor structures, except for concrete slabs on grade</w:t>
            </w:r>
          </w:p>
          <w:p w:rsidR="00026776" w:rsidRDefault="00026776" w:rsidP="00026776">
            <w:pPr>
              <w:pStyle w:val="ListParagraph"/>
              <w:numPr>
                <w:ilvl w:val="0"/>
                <w:numId w:val="1"/>
              </w:numPr>
              <w:ind w:left="426"/>
            </w:pPr>
            <w:r w:rsidRPr="00016C1A">
              <w:t>operational storage facilities, sheds, small buildings, salt sheds, asphalt tanks, inventory storage buildings and pump houses</w:t>
            </w:r>
          </w:p>
        </w:tc>
      </w:tr>
      <w:tr w:rsidR="00026776" w:rsidRPr="00016C1A" w:rsidTr="00F44171">
        <w:trPr>
          <w:cantSplit/>
        </w:trPr>
        <w:tc>
          <w:tcPr>
            <w:tcW w:w="1800" w:type="dxa"/>
          </w:tcPr>
          <w:p w:rsidR="00026776" w:rsidRPr="00016C1A" w:rsidRDefault="00026776" w:rsidP="00F44171">
            <w:pPr>
              <w:ind w:left="100"/>
            </w:pPr>
            <w:r w:rsidRPr="00016C1A">
              <w:t>Building improvements</w:t>
            </w:r>
          </w:p>
        </w:tc>
        <w:tc>
          <w:tcPr>
            <w:tcW w:w="7290" w:type="dxa"/>
          </w:tcPr>
          <w:p w:rsidR="00026776" w:rsidRDefault="00026776" w:rsidP="00026776">
            <w:pPr>
              <w:pStyle w:val="ListParagraph"/>
              <w:numPr>
                <w:ilvl w:val="0"/>
                <w:numId w:val="1"/>
              </w:numPr>
              <w:ind w:left="426"/>
            </w:pPr>
            <w:r w:rsidRPr="00016C1A">
              <w:t xml:space="preserve">major repairs </w:t>
            </w:r>
            <w:r>
              <w:t xml:space="preserve">or upgrades </w:t>
            </w:r>
            <w:r w:rsidRPr="00016C1A">
              <w:t xml:space="preserve">that increase the value or </w:t>
            </w:r>
            <w:r>
              <w:t>Useful Life</w:t>
            </w:r>
            <w:r w:rsidRPr="00016C1A">
              <w:t xml:space="preserve"> of the building</w:t>
            </w:r>
            <w:r>
              <w:t xml:space="preserve"> or which reduce future operating costs </w:t>
            </w:r>
            <w:r w:rsidRPr="00016C1A">
              <w:t>such as structural changes, installation or upgrade of heating and cooling systems, plumbing, electrical, telephone systems</w:t>
            </w:r>
          </w:p>
        </w:tc>
      </w:tr>
      <w:tr w:rsidR="00026776" w:rsidRPr="00016C1A" w:rsidTr="00F44171">
        <w:trPr>
          <w:cantSplit/>
        </w:trPr>
        <w:tc>
          <w:tcPr>
            <w:tcW w:w="1800" w:type="dxa"/>
          </w:tcPr>
          <w:p w:rsidR="00026776" w:rsidRPr="00016C1A" w:rsidRDefault="00026776" w:rsidP="00F44171">
            <w:pPr>
              <w:ind w:left="100"/>
            </w:pPr>
            <w:r w:rsidRPr="00016C1A">
              <w:t>Leasehold and occupancy improvements</w:t>
            </w:r>
          </w:p>
        </w:tc>
        <w:tc>
          <w:tcPr>
            <w:tcW w:w="7290" w:type="dxa"/>
          </w:tcPr>
          <w:p w:rsidR="00026776" w:rsidRDefault="00026776" w:rsidP="00026776">
            <w:pPr>
              <w:pStyle w:val="ListParagraph"/>
              <w:numPr>
                <w:ilvl w:val="0"/>
                <w:numId w:val="1"/>
              </w:numPr>
              <w:ind w:left="426"/>
            </w:pPr>
            <w:r w:rsidRPr="00016C1A">
              <w:t>improvements that increase the functionality of leased or similar accommodations (refer to the assets listed under the "building improvements" category)</w:t>
            </w:r>
          </w:p>
        </w:tc>
      </w:tr>
      <w:tr w:rsidR="00026776" w:rsidRPr="00016C1A" w:rsidTr="00F44171">
        <w:trPr>
          <w:cantSplit/>
        </w:trPr>
        <w:tc>
          <w:tcPr>
            <w:tcW w:w="1800" w:type="dxa"/>
          </w:tcPr>
          <w:p w:rsidR="00026776" w:rsidRPr="00016C1A" w:rsidRDefault="00026776" w:rsidP="00F44171">
            <w:pPr>
              <w:ind w:left="100"/>
            </w:pPr>
            <w:r w:rsidRPr="00016C1A">
              <w:lastRenderedPageBreak/>
              <w:t>Operating equipment</w:t>
            </w:r>
          </w:p>
        </w:tc>
        <w:tc>
          <w:tcPr>
            <w:tcW w:w="7290" w:type="dxa"/>
          </w:tcPr>
          <w:p w:rsidR="00026776" w:rsidRDefault="00026776" w:rsidP="00026776">
            <w:pPr>
              <w:pStyle w:val="ListParagraph"/>
              <w:numPr>
                <w:ilvl w:val="0"/>
                <w:numId w:val="1"/>
              </w:numPr>
              <w:ind w:left="426"/>
            </w:pPr>
            <w:r w:rsidRPr="00016C1A">
              <w:t xml:space="preserve">equipment specific to maintenance, shop and sanitation, laboratories, medical, dental, safety, appliances, scientific research, hospitals, education and communication such as forklifts, welding machines, utility trailers, security systems, snowploughs, radios, freezers, refrigerators, washers, meters, </w:t>
            </w:r>
            <w:proofErr w:type="spellStart"/>
            <w:r w:rsidRPr="00016C1A">
              <w:t>defibulators</w:t>
            </w:r>
            <w:proofErr w:type="spellEnd"/>
          </w:p>
        </w:tc>
      </w:tr>
      <w:tr w:rsidR="00026776" w:rsidRPr="00016C1A" w:rsidTr="00F44171">
        <w:trPr>
          <w:cantSplit/>
        </w:trPr>
        <w:tc>
          <w:tcPr>
            <w:tcW w:w="1800" w:type="dxa"/>
          </w:tcPr>
          <w:p w:rsidR="00026776" w:rsidRPr="00016C1A" w:rsidRDefault="00026776" w:rsidP="00F44171">
            <w:pPr>
              <w:ind w:left="100"/>
            </w:pPr>
            <w:r w:rsidRPr="00016C1A">
              <w:t>Heavy equipment</w:t>
            </w:r>
          </w:p>
        </w:tc>
        <w:tc>
          <w:tcPr>
            <w:tcW w:w="7290" w:type="dxa"/>
          </w:tcPr>
          <w:p w:rsidR="00026776" w:rsidRDefault="00026776" w:rsidP="00026776">
            <w:pPr>
              <w:pStyle w:val="ListParagraph"/>
              <w:numPr>
                <w:ilvl w:val="0"/>
                <w:numId w:val="1"/>
              </w:numPr>
              <w:ind w:left="426"/>
            </w:pPr>
            <w:r w:rsidRPr="00016C1A">
              <w:t>power and construction equipment such as graders, tractors, cranes, drill rigs, caterpillars, and trucks one tonne and over</w:t>
            </w:r>
          </w:p>
        </w:tc>
      </w:tr>
      <w:tr w:rsidR="00026776" w:rsidRPr="00016C1A" w:rsidTr="00F44171">
        <w:trPr>
          <w:cantSplit/>
        </w:trPr>
        <w:tc>
          <w:tcPr>
            <w:tcW w:w="1800" w:type="dxa"/>
          </w:tcPr>
          <w:p w:rsidR="00026776" w:rsidRPr="00016C1A" w:rsidRDefault="00026776" w:rsidP="00F44171">
            <w:pPr>
              <w:ind w:left="100"/>
            </w:pPr>
            <w:r w:rsidRPr="00016C1A">
              <w:t>Vehicles</w:t>
            </w:r>
          </w:p>
        </w:tc>
        <w:tc>
          <w:tcPr>
            <w:tcW w:w="7290" w:type="dxa"/>
          </w:tcPr>
          <w:p w:rsidR="00026776" w:rsidRDefault="00026776" w:rsidP="00026776">
            <w:pPr>
              <w:pStyle w:val="ListParagraph"/>
              <w:numPr>
                <w:ilvl w:val="0"/>
                <w:numId w:val="1"/>
              </w:numPr>
              <w:ind w:left="426"/>
            </w:pPr>
            <w:r w:rsidRPr="00016C1A">
              <w:t>used primarily for transportation purposes such as automobiles, trucks under one tonne, vans, boats, all-terrain vehicles, snowmobiles, motorcycles, and ambulances</w:t>
            </w:r>
          </w:p>
        </w:tc>
      </w:tr>
      <w:tr w:rsidR="00026776" w:rsidRPr="00016C1A" w:rsidTr="00F44171">
        <w:trPr>
          <w:cantSplit/>
        </w:trPr>
        <w:tc>
          <w:tcPr>
            <w:tcW w:w="1800" w:type="dxa"/>
          </w:tcPr>
          <w:p w:rsidR="00026776" w:rsidRPr="00016C1A" w:rsidRDefault="00026776" w:rsidP="00F44171">
            <w:pPr>
              <w:ind w:left="100"/>
            </w:pPr>
            <w:r w:rsidRPr="00016C1A">
              <w:t>Marine vessels - vessels and towers</w:t>
            </w:r>
          </w:p>
        </w:tc>
        <w:tc>
          <w:tcPr>
            <w:tcW w:w="7290" w:type="dxa"/>
          </w:tcPr>
          <w:p w:rsidR="00026776" w:rsidRDefault="00026776" w:rsidP="00026776">
            <w:pPr>
              <w:pStyle w:val="ListParagraph"/>
              <w:numPr>
                <w:ilvl w:val="0"/>
                <w:numId w:val="1"/>
              </w:numPr>
              <w:ind w:left="426"/>
            </w:pPr>
            <w:r w:rsidRPr="00016C1A">
              <w:t>construction and replacement of vessels and towers</w:t>
            </w:r>
          </w:p>
        </w:tc>
      </w:tr>
      <w:tr w:rsidR="00026776" w:rsidRPr="00016C1A" w:rsidTr="00F44171">
        <w:trPr>
          <w:cantSplit/>
        </w:trPr>
        <w:tc>
          <w:tcPr>
            <w:tcW w:w="1800" w:type="dxa"/>
          </w:tcPr>
          <w:p w:rsidR="00026776" w:rsidRPr="00016C1A" w:rsidRDefault="00026776" w:rsidP="00F44171">
            <w:pPr>
              <w:ind w:left="100"/>
            </w:pPr>
            <w:r w:rsidRPr="00016C1A">
              <w:t>Computer software</w:t>
            </w:r>
          </w:p>
        </w:tc>
        <w:tc>
          <w:tcPr>
            <w:tcW w:w="7290" w:type="dxa"/>
          </w:tcPr>
          <w:p w:rsidR="00026776" w:rsidRDefault="00026776" w:rsidP="00026776">
            <w:pPr>
              <w:pStyle w:val="ListParagraph"/>
              <w:numPr>
                <w:ilvl w:val="0"/>
                <w:numId w:val="1"/>
              </w:numPr>
              <w:ind w:left="426"/>
            </w:pPr>
            <w:r w:rsidRPr="00016C1A">
              <w:t>off the shelf software and related upgrades, software licenses after removing any maintenance or similar charges</w:t>
            </w:r>
          </w:p>
        </w:tc>
      </w:tr>
      <w:tr w:rsidR="00026776" w:rsidRPr="00016C1A" w:rsidTr="00F44171">
        <w:trPr>
          <w:cantSplit/>
        </w:trPr>
        <w:tc>
          <w:tcPr>
            <w:tcW w:w="1800" w:type="dxa"/>
          </w:tcPr>
          <w:p w:rsidR="00026776" w:rsidRPr="00016C1A" w:rsidRDefault="00026776" w:rsidP="00F44171">
            <w:pPr>
              <w:ind w:left="100"/>
            </w:pPr>
            <w:r w:rsidRPr="00016C1A">
              <w:t>Computer hardware</w:t>
            </w:r>
          </w:p>
        </w:tc>
        <w:tc>
          <w:tcPr>
            <w:tcW w:w="7290" w:type="dxa"/>
          </w:tcPr>
          <w:p w:rsidR="00026776" w:rsidRDefault="00026776" w:rsidP="00026776">
            <w:pPr>
              <w:pStyle w:val="ListParagraph"/>
              <w:numPr>
                <w:ilvl w:val="0"/>
                <w:numId w:val="1"/>
              </w:numPr>
              <w:ind w:left="426"/>
            </w:pPr>
            <w:r w:rsidRPr="00016C1A">
              <w:t xml:space="preserve">servers, voice logging equipment, scanners, printers, hard drives, </w:t>
            </w:r>
            <w:r>
              <w:t>external hard</w:t>
            </w:r>
            <w:r w:rsidRPr="00016C1A">
              <w:t xml:space="preserve"> drives, and plotters</w:t>
            </w:r>
          </w:p>
        </w:tc>
      </w:tr>
      <w:tr w:rsidR="00026776" w:rsidRPr="00016C1A" w:rsidTr="00F44171">
        <w:trPr>
          <w:cantSplit/>
        </w:trPr>
        <w:tc>
          <w:tcPr>
            <w:tcW w:w="1800" w:type="dxa"/>
          </w:tcPr>
          <w:p w:rsidR="00026776" w:rsidRPr="00016C1A" w:rsidRDefault="00026776" w:rsidP="00F44171">
            <w:pPr>
              <w:ind w:left="100"/>
            </w:pPr>
            <w:r w:rsidRPr="00016C1A">
              <w:t>Office furniture and equipment</w:t>
            </w:r>
          </w:p>
        </w:tc>
        <w:tc>
          <w:tcPr>
            <w:tcW w:w="7290" w:type="dxa"/>
          </w:tcPr>
          <w:p w:rsidR="00026776" w:rsidRDefault="00026776" w:rsidP="00026776">
            <w:pPr>
              <w:pStyle w:val="ListParagraph"/>
              <w:numPr>
                <w:ilvl w:val="0"/>
                <w:numId w:val="1"/>
              </w:numPr>
              <w:ind w:left="426"/>
            </w:pPr>
            <w:r w:rsidRPr="00016C1A">
              <w:t>desks, tables, chairs, filing cabinets, fax machines, photocopiers, videoconferencing stations, projectors, and digital cameras</w:t>
            </w:r>
          </w:p>
        </w:tc>
      </w:tr>
      <w:tr w:rsidR="00026776" w:rsidRPr="00016C1A" w:rsidTr="00F44171">
        <w:trPr>
          <w:cantSplit/>
        </w:trPr>
        <w:tc>
          <w:tcPr>
            <w:tcW w:w="1800" w:type="dxa"/>
          </w:tcPr>
          <w:p w:rsidR="00026776" w:rsidRPr="00016C1A" w:rsidRDefault="00026776" w:rsidP="00F44171">
            <w:pPr>
              <w:ind w:left="100"/>
            </w:pPr>
            <w:r>
              <w:t>Assets under</w:t>
            </w:r>
            <w:r w:rsidRPr="00016C1A">
              <w:t xml:space="preserve"> construction</w:t>
            </w:r>
          </w:p>
        </w:tc>
        <w:tc>
          <w:tcPr>
            <w:tcW w:w="7290" w:type="dxa"/>
          </w:tcPr>
          <w:p w:rsidR="00026776" w:rsidRDefault="00026776" w:rsidP="00026776">
            <w:pPr>
              <w:pStyle w:val="ListParagraph"/>
              <w:numPr>
                <w:ilvl w:val="0"/>
                <w:numId w:val="1"/>
              </w:numPr>
              <w:ind w:left="426"/>
            </w:pPr>
            <w:r w:rsidRPr="00016C1A">
              <w:t>roads</w:t>
            </w:r>
            <w:r>
              <w:t>, buildings or other Tangible Capital Assets that are under construction and have not yet been placed into service</w:t>
            </w:r>
          </w:p>
        </w:tc>
      </w:tr>
      <w:tr w:rsidR="00026776" w:rsidRPr="00016C1A" w:rsidTr="00F44171">
        <w:trPr>
          <w:cantSplit/>
        </w:trPr>
        <w:tc>
          <w:tcPr>
            <w:tcW w:w="1800" w:type="dxa"/>
          </w:tcPr>
          <w:p w:rsidR="00026776" w:rsidRPr="00016C1A" w:rsidRDefault="00026776" w:rsidP="00F44171">
            <w:pPr>
              <w:ind w:left="100"/>
            </w:pPr>
            <w:r w:rsidRPr="00016C1A">
              <w:t>Roads/Streets</w:t>
            </w:r>
          </w:p>
        </w:tc>
        <w:tc>
          <w:tcPr>
            <w:tcW w:w="7290" w:type="dxa"/>
          </w:tcPr>
          <w:p w:rsidR="00026776" w:rsidRDefault="00026776" w:rsidP="00026776">
            <w:pPr>
              <w:pStyle w:val="ListParagraph"/>
              <w:numPr>
                <w:ilvl w:val="0"/>
                <w:numId w:val="1"/>
              </w:numPr>
              <w:ind w:left="426"/>
            </w:pPr>
            <w:r w:rsidRPr="00016C1A">
              <w:t>roads</w:t>
            </w:r>
            <w:r>
              <w:t xml:space="preserve"> or streets</w:t>
            </w:r>
          </w:p>
          <w:p w:rsidR="00026776" w:rsidRDefault="00026776" w:rsidP="00026776">
            <w:pPr>
              <w:pStyle w:val="ListParagraph"/>
              <w:numPr>
                <w:ilvl w:val="0"/>
                <w:numId w:val="1"/>
              </w:numPr>
              <w:ind w:left="426"/>
            </w:pPr>
            <w:r w:rsidRPr="00016C1A">
              <w:t xml:space="preserve">light systems (traffic, </w:t>
            </w:r>
            <w:r>
              <w:t>pedestrian</w:t>
            </w:r>
            <w:r w:rsidRPr="00016C1A">
              <w:t>)</w:t>
            </w:r>
            <w:r>
              <w:t>,</w:t>
            </w:r>
            <w:r w:rsidRPr="00016C1A">
              <w:t xml:space="preserve"> signals for railways, new signage initiative, </w:t>
            </w:r>
            <w:r>
              <w:t xml:space="preserve">traffic calming (e.g. </w:t>
            </w:r>
            <w:r w:rsidRPr="00016C1A">
              <w:t>rumble strips</w:t>
            </w:r>
            <w:r>
              <w:t>, speed bumps)</w:t>
            </w:r>
          </w:p>
        </w:tc>
      </w:tr>
      <w:tr w:rsidR="00026776" w:rsidRPr="00016C1A" w:rsidTr="00F44171">
        <w:trPr>
          <w:cantSplit/>
        </w:trPr>
        <w:tc>
          <w:tcPr>
            <w:tcW w:w="1800" w:type="dxa"/>
          </w:tcPr>
          <w:p w:rsidR="00026776" w:rsidRPr="00016C1A" w:rsidRDefault="00026776" w:rsidP="00F44171">
            <w:pPr>
              <w:ind w:left="100"/>
            </w:pPr>
            <w:r w:rsidRPr="00016C1A">
              <w:t xml:space="preserve">Water </w:t>
            </w:r>
            <w:r>
              <w:t xml:space="preserve">and sewer </w:t>
            </w:r>
            <w:r w:rsidRPr="00016C1A">
              <w:t>infrastructure</w:t>
            </w:r>
          </w:p>
        </w:tc>
        <w:tc>
          <w:tcPr>
            <w:tcW w:w="7290" w:type="dxa"/>
          </w:tcPr>
          <w:p w:rsidR="00026776" w:rsidRDefault="00026776" w:rsidP="00026776">
            <w:pPr>
              <w:pStyle w:val="ListParagraph"/>
              <w:numPr>
                <w:ilvl w:val="0"/>
                <w:numId w:val="1"/>
              </w:numPr>
              <w:ind w:left="426"/>
            </w:pPr>
            <w:r w:rsidRPr="00016C1A">
              <w:t>dams, drainage facilities, docks, sewer systems, sewage lagoons, marinas, reservoirs, pumping facilities, tanks and associated infrastructure</w:t>
            </w:r>
          </w:p>
        </w:tc>
      </w:tr>
      <w:tr w:rsidR="00026776" w:rsidRPr="00016C1A" w:rsidTr="00F44171">
        <w:trPr>
          <w:cantSplit/>
        </w:trPr>
        <w:tc>
          <w:tcPr>
            <w:tcW w:w="1800" w:type="dxa"/>
          </w:tcPr>
          <w:p w:rsidR="00026776" w:rsidRPr="00016C1A" w:rsidRDefault="00026776" w:rsidP="00F44171">
            <w:pPr>
              <w:ind w:left="100"/>
            </w:pPr>
            <w:r w:rsidRPr="00016C1A">
              <w:t>Other infrastructure</w:t>
            </w:r>
          </w:p>
        </w:tc>
        <w:tc>
          <w:tcPr>
            <w:tcW w:w="7290" w:type="dxa"/>
          </w:tcPr>
          <w:p w:rsidR="00026776" w:rsidRDefault="00026776" w:rsidP="00026776">
            <w:pPr>
              <w:pStyle w:val="ListParagraph"/>
              <w:numPr>
                <w:ilvl w:val="0"/>
                <w:numId w:val="1"/>
              </w:numPr>
              <w:ind w:left="426"/>
            </w:pPr>
            <w:r w:rsidRPr="00016C1A">
              <w:t>landfills, tanker bases, helipad, dump stations</w:t>
            </w:r>
          </w:p>
        </w:tc>
      </w:tr>
    </w:tbl>
    <w:p w:rsidR="008E5F1B" w:rsidRDefault="00026776">
      <w:bookmarkStart w:id="0" w:name="_GoBack"/>
      <w:bookmarkEnd w:id="0"/>
    </w:p>
    <w:sectPr w:rsidR="008E5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787CEB"/>
    <w:multiLevelType w:val="hybridMultilevel"/>
    <w:tmpl w:val="0E4AA2AA"/>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76"/>
    <w:rsid w:val="00026776"/>
    <w:rsid w:val="003D5648"/>
    <w:rsid w:val="00407CDD"/>
    <w:rsid w:val="00495E60"/>
    <w:rsid w:val="005E05DA"/>
    <w:rsid w:val="006B7BF7"/>
    <w:rsid w:val="008E718B"/>
    <w:rsid w:val="00EB4228"/>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FC3F7-4C5D-4AF1-AFCE-33B42A85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776"/>
    <w:pPr>
      <w:spacing w:before="120" w:after="120" w:line="276" w:lineRule="auto"/>
      <w:ind w:left="567"/>
    </w:pPr>
    <w:rPr>
      <w:rFonts w:ascii="Calibri" w:eastAsia="MS Mincho" w:hAnsi="Calibri" w:cs="Times New Roman"/>
      <w:lang w:eastAsia="ja-JP"/>
    </w:rPr>
  </w:style>
  <w:style w:type="paragraph" w:styleId="Heading4">
    <w:name w:val="heading 4"/>
    <w:basedOn w:val="Normal"/>
    <w:next w:val="Normal"/>
    <w:link w:val="Heading4Char"/>
    <w:unhideWhenUsed/>
    <w:qFormat/>
    <w:rsid w:val="00026776"/>
    <w:pPr>
      <w:keepNext/>
      <w:keepLines/>
      <w:ind w:left="907"/>
      <w:outlineLvl w:val="3"/>
    </w:pPr>
    <w:rPr>
      <w:rFonts w:eastAsiaTheme="majorEastAsia" w:cstheme="majorBidi"/>
      <w:b/>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26776"/>
    <w:rPr>
      <w:rFonts w:ascii="Calibri" w:eastAsiaTheme="majorEastAsia" w:hAnsi="Calibri" w:cstheme="majorBidi"/>
      <w:b/>
      <w:iCs/>
      <w:color w:val="2E74B5" w:themeColor="accent1" w:themeShade="BF"/>
      <w:lang w:eastAsia="ja-JP"/>
    </w:rPr>
  </w:style>
  <w:style w:type="paragraph" w:styleId="ListParagraph">
    <w:name w:val="List Paragraph"/>
    <w:basedOn w:val="Normal"/>
    <w:uiPriority w:val="34"/>
    <w:qFormat/>
    <w:rsid w:val="00026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2986</Characters>
  <Application>Microsoft Office Word</Application>
  <DocSecurity>0</DocSecurity>
  <Lines>24</Lines>
  <Paragraphs>7</Paragraphs>
  <ScaleCrop>false</ScaleCrop>
  <Company>Org</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Lee</dc:creator>
  <cp:keywords/>
  <dc:description/>
  <cp:lastModifiedBy>Ingrid Lee</cp:lastModifiedBy>
  <cp:revision>1</cp:revision>
  <dcterms:created xsi:type="dcterms:W3CDTF">2017-12-12T20:20:00Z</dcterms:created>
  <dcterms:modified xsi:type="dcterms:W3CDTF">2017-12-12T20:20:00Z</dcterms:modified>
</cp:coreProperties>
</file>